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914E51F" w14:textId="77777777">
      <w:pPr>
        <w:pStyle w:val="Title"/>
        <w:rPr>
          <w:caps w:val="0"/>
          <w:kern w:val="0"/>
        </w:rPr>
      </w:pPr>
      <w:r w:rsidRPr="002F6A28">
        <w:rPr>
          <w:caps w:val="0"/>
          <w:kern w:val="0"/>
        </w:rPr>
        <w:t>NOTIFICATION</w:t>
      </w:r>
    </w:p>
    <w:p w:rsidR="009239F7" w:rsidRPr="002F6A28" w:rsidP="002F6A28" w14:paraId="11A6A9D0" w14:textId="77777777">
      <w:pPr>
        <w:jc w:val="center"/>
      </w:pPr>
      <w:r w:rsidRPr="002F6A28">
        <w:t>The following notification is being circulated in accordance with Article 10.6</w:t>
      </w:r>
    </w:p>
    <w:p w:rsidR="009239F7" w:rsidRPr="002F6A28" w:rsidP="002F6A28" w14:paraId="41CD3D7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E41B843" w14:textId="77777777" w:rsidTr="00DB13FE">
        <w:tblPrEx>
          <w:tblW w:w="5000" w:type="pct"/>
          <w:tblLayout w:type="fixed"/>
          <w:tblLook w:val="0000"/>
        </w:tblPrEx>
        <w:tc>
          <w:tcPr>
            <w:tcW w:w="607" w:type="dxa"/>
            <w:tcBorders>
              <w:top w:val="double" w:sz="4" w:space="0" w:color="auto"/>
            </w:tcBorders>
          </w:tcPr>
          <w:p w:rsidR="00F85C99" w:rsidRPr="002F6A28" w:rsidP="002F6A28" w14:paraId="79BB10A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87BF45A"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6659CE0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B8E9260" w14:textId="77777777" w:rsidTr="00DB13FE">
        <w:tblPrEx>
          <w:tblW w:w="5000" w:type="pct"/>
          <w:tblLayout w:type="fixed"/>
          <w:tblLook w:val="0000"/>
        </w:tblPrEx>
        <w:tc>
          <w:tcPr>
            <w:tcW w:w="607" w:type="dxa"/>
          </w:tcPr>
          <w:p w:rsidR="00F85C99" w:rsidRPr="002F6A28" w:rsidP="002F6A28" w14:paraId="5A46B463" w14:textId="77777777">
            <w:pPr>
              <w:spacing w:before="120" w:after="120"/>
              <w:jc w:val="left"/>
            </w:pPr>
            <w:r w:rsidRPr="002F6A28">
              <w:rPr>
                <w:b/>
              </w:rPr>
              <w:t>2.</w:t>
            </w:r>
          </w:p>
        </w:tc>
        <w:tc>
          <w:tcPr>
            <w:tcW w:w="8373" w:type="dxa"/>
          </w:tcPr>
          <w:p w:rsidR="00F85C99" w:rsidRPr="002F6A28" w:rsidP="000C3B6C" w14:paraId="65830FD5" w14:textId="77777777">
            <w:pPr>
              <w:spacing w:before="120" w:after="120"/>
            </w:pPr>
            <w:r w:rsidRPr="002F6A28">
              <w:rPr>
                <w:b/>
              </w:rPr>
              <w:t>Agency responsible:</w:t>
            </w:r>
            <w:r w:rsidRPr="00C379C8" w:rsidR="00EE3A11">
              <w:t xml:space="preserve"> </w:t>
            </w:r>
          </w:p>
          <w:p w:rsidR="00EE3A11" w:rsidRPr="00C379C8" w:rsidP="000C3B6C" w14:paraId="70033E5C" w14:textId="77777777">
            <w:r w:rsidRPr="00C379C8">
              <w:t>Rwanda Standards Board (RSB)</w:t>
            </w:r>
          </w:p>
          <w:p w:rsidR="00EE3A11" w:rsidRPr="00C379C8" w:rsidP="000C3B6C" w14:paraId="477C4369" w14:textId="77777777">
            <w:r w:rsidRPr="00C379C8">
              <w:t>KK 15 Rd, 49</w:t>
            </w:r>
          </w:p>
          <w:p w:rsidR="00EE3A11" w:rsidRPr="00C379C8" w:rsidP="000C3B6C" w14:paraId="0532F3E2" w14:textId="77777777">
            <w:r w:rsidRPr="00C379C8">
              <w:t>P.O.BOX 7099, Kigali, Rwanda</w:t>
            </w:r>
          </w:p>
          <w:p w:rsidR="00EE3A11" w:rsidRPr="00C379C8" w:rsidP="000C3B6C" w14:paraId="0EC2C553" w14:textId="77777777">
            <w:r w:rsidRPr="00C379C8">
              <w:t>Tel: +250 788303492</w:t>
            </w:r>
          </w:p>
          <w:p w:rsidR="00EE3A11" w:rsidRPr="00C379C8" w:rsidP="000C3B6C" w14:paraId="6118B8AC" w14:textId="77777777">
            <w:r w:rsidRPr="00C379C8">
              <w:t xml:space="preserve">Email: </w:t>
            </w:r>
            <w:hyperlink r:id="rId6" w:history="1">
              <w:r w:rsidRPr="00C379C8">
                <w:rPr>
                  <w:color w:val="0000FF"/>
                  <w:u w:val="single"/>
                </w:rPr>
                <w:t>info@rsb.gov.rw</w:t>
              </w:r>
            </w:hyperlink>
          </w:p>
          <w:p w:rsidR="00EE3A11" w:rsidRPr="00C379C8" w:rsidP="000C3B6C" w14:paraId="0C718F2E" w14:textId="696E104B">
            <w:pPr>
              <w:spacing w:after="120"/>
            </w:pPr>
            <w:r w:rsidRPr="00C379C8">
              <w:t xml:space="preserve">Website: </w:t>
            </w:r>
            <w:hyperlink r:id="rId7" w:history="1">
              <w:r w:rsidRPr="00854CEF" w:rsidR="00C73119">
                <w:rPr>
                  <w:rStyle w:val="Hyperlink"/>
                </w:rPr>
                <w:t>www.rsb.gov.rw</w:t>
              </w:r>
            </w:hyperlink>
            <w:r w:rsidR="00C73119">
              <w:t xml:space="preserve"> </w:t>
            </w:r>
          </w:p>
        </w:tc>
      </w:tr>
      <w:tr w14:paraId="51E746BE" w14:textId="77777777" w:rsidTr="00DB13FE">
        <w:tblPrEx>
          <w:tblW w:w="5000" w:type="pct"/>
          <w:tblLayout w:type="fixed"/>
          <w:tblLook w:val="0000"/>
        </w:tblPrEx>
        <w:tc>
          <w:tcPr>
            <w:tcW w:w="607" w:type="dxa"/>
          </w:tcPr>
          <w:p w:rsidR="00F85C99" w:rsidRPr="002F6A28" w:rsidP="002F6A28" w14:paraId="279275B2" w14:textId="77777777">
            <w:pPr>
              <w:spacing w:before="120" w:after="120"/>
              <w:jc w:val="left"/>
              <w:rPr>
                <w:b/>
              </w:rPr>
            </w:pPr>
            <w:r w:rsidRPr="002F6A28">
              <w:rPr>
                <w:b/>
              </w:rPr>
              <w:t>3.</w:t>
            </w:r>
          </w:p>
        </w:tc>
        <w:tc>
          <w:tcPr>
            <w:tcW w:w="8373" w:type="dxa"/>
          </w:tcPr>
          <w:p w:rsidR="00F85C99" w:rsidRPr="0058336F" w:rsidP="002F6A28" w14:paraId="38B9FB3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2CF5D80" w14:textId="77777777" w:rsidTr="00DB13FE">
        <w:tblPrEx>
          <w:tblW w:w="5000" w:type="pct"/>
          <w:tblLayout w:type="fixed"/>
          <w:tblLook w:val="0000"/>
        </w:tblPrEx>
        <w:tc>
          <w:tcPr>
            <w:tcW w:w="607" w:type="dxa"/>
          </w:tcPr>
          <w:p w:rsidR="00F85C99" w:rsidRPr="002F6A28" w:rsidP="002F6A28" w14:paraId="3091D817" w14:textId="77777777">
            <w:pPr>
              <w:spacing w:before="120" w:after="120"/>
              <w:jc w:val="left"/>
            </w:pPr>
            <w:r w:rsidRPr="002F6A28">
              <w:rPr>
                <w:b/>
              </w:rPr>
              <w:t>4.</w:t>
            </w:r>
          </w:p>
        </w:tc>
        <w:tc>
          <w:tcPr>
            <w:tcW w:w="8373" w:type="dxa"/>
          </w:tcPr>
          <w:p w:rsidR="00F85C99" w:rsidRPr="002F6A28" w:rsidP="002F6A28" w14:paraId="661BC7D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construction materials (ICS code(s): 93.080.20)</w:t>
            </w:r>
          </w:p>
        </w:tc>
      </w:tr>
      <w:tr w14:paraId="27BF4B31" w14:textId="77777777" w:rsidTr="00DB13FE">
        <w:tblPrEx>
          <w:tblW w:w="5000" w:type="pct"/>
          <w:tblLayout w:type="fixed"/>
          <w:tblLook w:val="0000"/>
        </w:tblPrEx>
        <w:tc>
          <w:tcPr>
            <w:tcW w:w="607" w:type="dxa"/>
          </w:tcPr>
          <w:p w:rsidR="00F85C99" w:rsidRPr="002F6A28" w:rsidP="002F6A28" w14:paraId="7842C6C5" w14:textId="77777777">
            <w:pPr>
              <w:spacing w:before="120" w:after="120"/>
              <w:jc w:val="left"/>
            </w:pPr>
            <w:r w:rsidRPr="002F6A28">
              <w:rPr>
                <w:b/>
              </w:rPr>
              <w:t>5.</w:t>
            </w:r>
          </w:p>
        </w:tc>
        <w:tc>
          <w:tcPr>
            <w:tcW w:w="8373" w:type="dxa"/>
          </w:tcPr>
          <w:p w:rsidR="00F85C99" w:rsidP="002F6A28" w14:paraId="34D07A8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630: 2026, Pavements of natural stone paving units and cobbles, and rigid construction with concrete block paving — Part 7: Code of practice for construction; (47 page(s), in English)</w:t>
            </w:r>
          </w:p>
          <w:p w:rsidR="000C3B6C" w:rsidRPr="000C3B6C" w:rsidP="002F6A28" w14:paraId="3CF8D2A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91860" w:rsidRPr="00CE6C29" w:rsidP="002F6A28" w14:paraId="30B6FD95"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https://members.wto.org/crnattachments/2026/TBT/RWA/26_01075_00_e.pdf</w:t>
              </w:r>
            </w:hyperlink>
          </w:p>
          <w:p w:rsidR="00A91860" w:rsidRPr="00CE6C29" w:rsidP="002F6A28" w14:paraId="772B0296" w14:textId="77777777">
            <w:pPr>
              <w:rPr>
                <w:iCs/>
              </w:rPr>
            </w:pPr>
            <w:r w:rsidRPr="00CE6C29">
              <w:rPr>
                <w:iCs/>
              </w:rPr>
              <w:t>Rwanda Standards Board (RSB)</w:t>
            </w:r>
          </w:p>
          <w:p w:rsidR="00A91860" w:rsidRPr="00CE6C29" w:rsidP="002F6A28" w14:paraId="480F1CF1" w14:textId="77777777">
            <w:pPr>
              <w:rPr>
                <w:iCs/>
              </w:rPr>
            </w:pPr>
            <w:r w:rsidRPr="00CE6C29">
              <w:rPr>
                <w:iCs/>
              </w:rPr>
              <w:t>KK 15 Rd, 49</w:t>
            </w:r>
          </w:p>
          <w:p w:rsidR="00A91860" w:rsidRPr="006B30CE" w:rsidP="002F6A28" w14:paraId="06D62B7C" w14:textId="77777777">
            <w:pPr>
              <w:rPr>
                <w:iCs/>
                <w:lang w:val="fr-CH"/>
              </w:rPr>
            </w:pPr>
            <w:r w:rsidRPr="006B30CE">
              <w:rPr>
                <w:iCs/>
                <w:lang w:val="fr-CH"/>
              </w:rPr>
              <w:t>P.O.BOX 7099, Kigali, Rwanda</w:t>
            </w:r>
          </w:p>
          <w:p w:rsidR="00A91860" w:rsidRPr="006B30CE" w:rsidP="002F6A28" w14:paraId="614EF708" w14:textId="77777777">
            <w:pPr>
              <w:rPr>
                <w:iCs/>
                <w:lang w:val="fr-CH"/>
              </w:rPr>
            </w:pPr>
            <w:r w:rsidRPr="006B30CE">
              <w:rPr>
                <w:iCs/>
                <w:lang w:val="fr-CH"/>
              </w:rPr>
              <w:t>Tel: +250 788303492</w:t>
            </w:r>
          </w:p>
          <w:p w:rsidR="00A91860" w:rsidRPr="00CE6C29" w:rsidP="002F6A28" w14:paraId="2D67D695" w14:textId="77777777">
            <w:pPr>
              <w:rPr>
                <w:iCs/>
              </w:rPr>
            </w:pPr>
            <w:r w:rsidRPr="00CE6C29">
              <w:rPr>
                <w:iCs/>
              </w:rPr>
              <w:t xml:space="preserve">Email: </w:t>
            </w:r>
            <w:hyperlink r:id="rId6" w:history="1">
              <w:r w:rsidRPr="00CE6C29">
                <w:rPr>
                  <w:iCs/>
                  <w:color w:val="0000FF"/>
                  <w:u w:val="single"/>
                </w:rPr>
                <w:t>info@rsb.gov.rw</w:t>
              </w:r>
            </w:hyperlink>
          </w:p>
          <w:p w:rsidR="00A91860" w:rsidRPr="00CE6C29" w:rsidP="002F6A28" w14:paraId="039FE275" w14:textId="63162A71">
            <w:pPr>
              <w:spacing w:after="120"/>
              <w:rPr>
                <w:iCs/>
              </w:rPr>
            </w:pPr>
            <w:r w:rsidRPr="00CE6C29">
              <w:rPr>
                <w:iCs/>
              </w:rPr>
              <w:t xml:space="preserve">Website: </w:t>
            </w:r>
            <w:hyperlink r:id="rId7" w:history="1">
              <w:r w:rsidRPr="00854CEF" w:rsidR="00C73119">
                <w:rPr>
                  <w:rStyle w:val="Hyperlink"/>
                  <w:iCs/>
                </w:rPr>
                <w:t>www.rsb.gov.rw</w:t>
              </w:r>
            </w:hyperlink>
            <w:r w:rsidR="00C73119">
              <w:rPr>
                <w:iCs/>
              </w:rPr>
              <w:t xml:space="preserve"> </w:t>
            </w:r>
          </w:p>
        </w:tc>
      </w:tr>
      <w:tr w14:paraId="5F09E461" w14:textId="77777777" w:rsidTr="00DB13FE">
        <w:tblPrEx>
          <w:tblW w:w="5000" w:type="pct"/>
          <w:tblLayout w:type="fixed"/>
          <w:tblLook w:val="0000"/>
        </w:tblPrEx>
        <w:tc>
          <w:tcPr>
            <w:tcW w:w="607" w:type="dxa"/>
          </w:tcPr>
          <w:p w:rsidR="00F85C99" w:rsidRPr="002F6A28" w:rsidP="002F6A28" w14:paraId="70B4627A" w14:textId="77777777">
            <w:pPr>
              <w:spacing w:before="120" w:after="120"/>
              <w:jc w:val="left"/>
              <w:rPr>
                <w:b/>
              </w:rPr>
            </w:pPr>
            <w:r w:rsidRPr="002F6A28">
              <w:rPr>
                <w:b/>
              </w:rPr>
              <w:t>6.</w:t>
            </w:r>
          </w:p>
        </w:tc>
        <w:tc>
          <w:tcPr>
            <w:tcW w:w="8373" w:type="dxa"/>
          </w:tcPr>
          <w:p w:rsidR="00F85C99" w:rsidRPr="002F6A28" w:rsidP="002F6A28" w14:paraId="5332CDB1" w14:textId="77777777">
            <w:pPr>
              <w:spacing w:before="120" w:after="120"/>
              <w:rPr>
                <w:b/>
              </w:rPr>
            </w:pPr>
            <w:r w:rsidRPr="002F6A28">
              <w:rPr>
                <w:b/>
              </w:rPr>
              <w:t>Description of content:</w:t>
            </w:r>
            <w:r w:rsidRPr="00C379C8" w:rsidR="00FE448B">
              <w:t xml:space="preserve"> This Daft Rwanda Standard provides recommendations for the laying of natural stone paving units and cobbles, and rigid construction with concrete block paving intended for pavements, roads, industrial areas and other paved surfaces subjected to all categories of static and vehicular loading and pedestrian traffic.</w:t>
            </w:r>
          </w:p>
        </w:tc>
      </w:tr>
      <w:tr w14:paraId="7A6597B7" w14:textId="77777777" w:rsidTr="00DB13FE">
        <w:tblPrEx>
          <w:tblW w:w="5000" w:type="pct"/>
          <w:tblLayout w:type="fixed"/>
          <w:tblLook w:val="0000"/>
        </w:tblPrEx>
        <w:tc>
          <w:tcPr>
            <w:tcW w:w="607" w:type="dxa"/>
          </w:tcPr>
          <w:p w:rsidR="00F85C99" w:rsidRPr="002F6A28" w:rsidP="002F6A28" w14:paraId="198B385B" w14:textId="77777777">
            <w:pPr>
              <w:spacing w:before="120" w:after="120"/>
              <w:jc w:val="left"/>
              <w:rPr>
                <w:b/>
              </w:rPr>
            </w:pPr>
            <w:r w:rsidRPr="002F6A28">
              <w:rPr>
                <w:b/>
              </w:rPr>
              <w:t>7.</w:t>
            </w:r>
          </w:p>
        </w:tc>
        <w:tc>
          <w:tcPr>
            <w:tcW w:w="8373" w:type="dxa"/>
          </w:tcPr>
          <w:p w:rsidR="00F85C99" w:rsidRPr="002F6A28" w:rsidP="002F6A28" w14:paraId="0CFDA9B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5C5BCA79" w14:textId="77777777" w:rsidTr="00DB13FE">
        <w:tblPrEx>
          <w:tblW w:w="5000" w:type="pct"/>
          <w:tblLayout w:type="fixed"/>
          <w:tblLook w:val="0000"/>
        </w:tblPrEx>
        <w:tc>
          <w:tcPr>
            <w:tcW w:w="607" w:type="dxa"/>
          </w:tcPr>
          <w:p w:rsidR="00F85C99" w:rsidRPr="002F6A28" w:rsidP="009E75ED" w14:paraId="267A4271" w14:textId="77777777">
            <w:pPr>
              <w:spacing w:before="120" w:after="120"/>
              <w:jc w:val="left"/>
              <w:rPr>
                <w:b/>
              </w:rPr>
            </w:pPr>
            <w:r w:rsidRPr="002F6A28">
              <w:rPr>
                <w:b/>
              </w:rPr>
              <w:t>8.</w:t>
            </w:r>
          </w:p>
        </w:tc>
        <w:tc>
          <w:tcPr>
            <w:tcW w:w="8373" w:type="dxa"/>
          </w:tcPr>
          <w:p w:rsidR="000C3B6C" w:rsidRPr="00EC00D2" w:rsidP="007F13E8" w14:paraId="3B539F60" w14:textId="77777777">
            <w:pPr>
              <w:spacing w:before="120" w:after="120"/>
              <w:rPr>
                <w:bCs/>
              </w:rPr>
            </w:pPr>
            <w:r w:rsidRPr="002F6A28">
              <w:rPr>
                <w:b/>
              </w:rPr>
              <w:t>Relevant documents:</w:t>
            </w:r>
            <w:r w:rsidRPr="002F6A28" w:rsidR="00EE3A11">
              <w:t xml:space="preserve"> </w:t>
            </w:r>
          </w:p>
          <w:p w:rsidR="00EE3A11" w:rsidRPr="002F6A28" w:rsidP="007F13E8" w14:paraId="1215F3CE" w14:textId="77777777">
            <w:pPr>
              <w:numPr>
                <w:ilvl w:val="0"/>
                <w:numId w:val="16"/>
              </w:numPr>
              <w:spacing w:before="120" w:after="120"/>
            </w:pPr>
            <w:r w:rsidRPr="002F6A28">
              <w:t>ASTM C936/C936M-24, Standard Specification for Solid Concrete Interlocking Paving Units</w:t>
            </w:r>
          </w:p>
          <w:p w:rsidR="00EE3A11" w:rsidRPr="002F6A28" w:rsidP="007F13E8" w14:paraId="6F36D5B6" w14:textId="77777777">
            <w:pPr>
              <w:numPr>
                <w:ilvl w:val="0"/>
                <w:numId w:val="16"/>
              </w:numPr>
              <w:spacing w:before="120" w:after="120"/>
            </w:pPr>
            <w:r w:rsidRPr="002F6A28">
              <w:t>RS ISO 1920-2, Testing of concrete — Part 2: Properties of fresh concrete</w:t>
            </w:r>
          </w:p>
          <w:p w:rsidR="00EE3A11" w:rsidRPr="002F6A28" w:rsidP="007F13E8" w14:paraId="25B1A9F2" w14:textId="77777777">
            <w:pPr>
              <w:numPr>
                <w:ilvl w:val="0"/>
                <w:numId w:val="16"/>
              </w:numPr>
              <w:spacing w:before="120" w:after="120"/>
            </w:pPr>
            <w:r w:rsidRPr="002F6A28">
              <w:t>ISO 14824-3, Grout for prestressing tendons — Part 3: Test methods</w:t>
            </w:r>
          </w:p>
          <w:p w:rsidR="00EE3A11" w:rsidRPr="002F6A28" w:rsidP="007F13E8" w14:paraId="2BD16216" w14:textId="77777777">
            <w:pPr>
              <w:numPr>
                <w:ilvl w:val="0"/>
                <w:numId w:val="16"/>
              </w:numPr>
              <w:spacing w:before="120" w:after="120"/>
            </w:pPr>
            <w:r w:rsidRPr="002F6A28">
              <w:t>RS 96-5, Aggregates — Determination of particle shape — Part 5: Flakiness index of course aggregates</w:t>
            </w:r>
          </w:p>
          <w:p w:rsidR="00EE3A11" w:rsidRPr="002F6A28" w:rsidP="007F13E8" w14:paraId="1AACB02C" w14:textId="77777777">
            <w:pPr>
              <w:numPr>
                <w:ilvl w:val="0"/>
                <w:numId w:val="16"/>
              </w:numPr>
              <w:spacing w:before="120" w:after="120"/>
            </w:pPr>
            <w:r w:rsidRPr="002F6A28">
              <w:t>RS 211-5, Methods of test for mortar for masonry — Part 5: Determination of flexural and compressive strength of hardened mortar</w:t>
            </w:r>
          </w:p>
          <w:p w:rsidR="00EE3A11" w:rsidRPr="002F6A28" w:rsidP="007F13E8" w14:paraId="6DEF5B14" w14:textId="77777777">
            <w:pPr>
              <w:numPr>
                <w:ilvl w:val="0"/>
                <w:numId w:val="16"/>
              </w:numPr>
              <w:spacing w:before="120" w:after="120"/>
            </w:pPr>
            <w:r w:rsidRPr="002F6A28">
              <w:t>RS 211-6, Methods of test for mortar for masonry — Part 6: Determination of adhesive Strength of hardened rendering and plastering mortars on substrates</w:t>
            </w:r>
          </w:p>
          <w:p w:rsidR="00EE3A11" w:rsidRPr="002F6A28" w:rsidP="007F13E8" w14:paraId="1285F8F7" w14:textId="77777777">
            <w:pPr>
              <w:numPr>
                <w:ilvl w:val="0"/>
                <w:numId w:val="16"/>
              </w:numPr>
              <w:spacing w:before="120" w:after="120"/>
            </w:pPr>
            <w:r w:rsidRPr="002F6A28">
              <w:t>RS 373, Aggregates for concrete — Specification</w:t>
            </w:r>
          </w:p>
          <w:p w:rsidR="00EE3A11" w:rsidRPr="002F6A28" w:rsidP="007F13E8" w14:paraId="38ACE862" w14:textId="77777777">
            <w:pPr>
              <w:numPr>
                <w:ilvl w:val="0"/>
                <w:numId w:val="16"/>
              </w:numPr>
              <w:spacing w:before="120" w:after="120"/>
            </w:pPr>
            <w:r w:rsidRPr="002F6A28">
              <w:t>RS 521, Sets of natural stone for external paving — Requirements and test methods</w:t>
            </w:r>
          </w:p>
        </w:tc>
      </w:tr>
      <w:tr w14:paraId="0EC085A3" w14:textId="77777777" w:rsidTr="00DB13FE">
        <w:tblPrEx>
          <w:tblW w:w="5000" w:type="pct"/>
          <w:tblLayout w:type="fixed"/>
          <w:tblLook w:val="0000"/>
        </w:tblPrEx>
        <w:tc>
          <w:tcPr>
            <w:tcW w:w="607" w:type="dxa"/>
          </w:tcPr>
          <w:p w:rsidR="00EE3A11" w:rsidRPr="002F6A28" w:rsidP="002F6A28" w14:paraId="487359C0" w14:textId="77777777">
            <w:pPr>
              <w:spacing w:before="120" w:after="120"/>
              <w:jc w:val="left"/>
              <w:rPr>
                <w:b/>
              </w:rPr>
            </w:pPr>
            <w:r w:rsidRPr="002F6A28">
              <w:rPr>
                <w:b/>
              </w:rPr>
              <w:t>9.</w:t>
            </w:r>
          </w:p>
        </w:tc>
        <w:tc>
          <w:tcPr>
            <w:tcW w:w="8373" w:type="dxa"/>
          </w:tcPr>
          <w:p w:rsidR="00EE3A11" w:rsidRPr="002F6A28" w:rsidP="008953C4" w14:paraId="0C46F3C5" w14:textId="77777777">
            <w:pPr>
              <w:spacing w:before="120" w:after="120"/>
            </w:pPr>
            <w:r w:rsidRPr="002F6A28">
              <w:rPr>
                <w:b/>
              </w:rPr>
              <w:t>Proposed date of adoption:</w:t>
            </w:r>
            <w:r w:rsidRPr="00C379C8">
              <w:t xml:space="preserve"> To be determined</w:t>
            </w:r>
          </w:p>
          <w:p w:rsidR="00EE3A11" w:rsidRPr="002F6A28" w:rsidP="008953C4" w14:paraId="190277F4" w14:textId="77777777">
            <w:pPr>
              <w:spacing w:after="120"/>
            </w:pPr>
            <w:r w:rsidRPr="002F6A28">
              <w:rPr>
                <w:b/>
              </w:rPr>
              <w:t>Proposed date of entry into force:</w:t>
            </w:r>
            <w:r w:rsidRPr="00C379C8">
              <w:t xml:space="preserve"> 6 months from adoption</w:t>
            </w:r>
          </w:p>
        </w:tc>
      </w:tr>
      <w:tr w14:paraId="3611EED4" w14:textId="77777777" w:rsidTr="00DB13FE">
        <w:tblPrEx>
          <w:tblW w:w="5000" w:type="pct"/>
          <w:tblLayout w:type="fixed"/>
          <w:tblLook w:val="0000"/>
        </w:tblPrEx>
        <w:tc>
          <w:tcPr>
            <w:tcW w:w="607" w:type="dxa"/>
            <w:tcBorders>
              <w:bottom w:val="double" w:sz="4" w:space="0" w:color="auto"/>
            </w:tcBorders>
          </w:tcPr>
          <w:p w:rsidR="00F85C99" w:rsidRPr="002F6A28" w:rsidP="002F6A28" w14:paraId="0AD3885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0217DE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E868D3" w14:textId="77777777">
            <w:pPr>
              <w:spacing w:before="120" w:after="120"/>
              <w:rPr>
                <w:bCs/>
              </w:rPr>
            </w:pPr>
            <w:r w:rsidRPr="002F6A28">
              <w:rPr>
                <w:b/>
              </w:rPr>
              <w:t>Final date for comments:</w:t>
            </w:r>
            <w:r w:rsidRPr="00C379C8" w:rsidR="00EE3A11">
              <w:t xml:space="preserve"> 24 April 2026</w:t>
            </w:r>
          </w:p>
          <w:p w:rsidR="000C3B6C" w:rsidRPr="00E3324D" w:rsidP="000C3B6C" w14:paraId="220A595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213488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8D18981" w14:textId="77777777">
            <w:r w:rsidRPr="00CE6C29">
              <w:t>Rwanda Standards Board (RSB)</w:t>
            </w:r>
          </w:p>
          <w:p w:rsidR="00CE6C29" w:rsidRPr="00CE6C29" w:rsidP="000C3B6C" w14:paraId="5994F161" w14:textId="77777777">
            <w:r w:rsidRPr="00CE6C29">
              <w:t>KK 15 Rd, 49</w:t>
            </w:r>
          </w:p>
          <w:p w:rsidR="00CE6C29" w:rsidRPr="006B30CE" w:rsidP="000C3B6C" w14:paraId="41FD0D13" w14:textId="77777777">
            <w:pPr>
              <w:rPr>
                <w:lang w:val="fr-CH"/>
              </w:rPr>
            </w:pPr>
            <w:r w:rsidRPr="006B30CE">
              <w:rPr>
                <w:lang w:val="fr-CH"/>
              </w:rPr>
              <w:t>P.O.BOX 7099, Kigali, Rwanda</w:t>
            </w:r>
          </w:p>
          <w:p w:rsidR="00CE6C29" w:rsidRPr="006B30CE" w:rsidP="000C3B6C" w14:paraId="23EB6EE4" w14:textId="77777777">
            <w:pPr>
              <w:rPr>
                <w:lang w:val="fr-CH"/>
              </w:rPr>
            </w:pPr>
            <w:r w:rsidRPr="006B30CE">
              <w:rPr>
                <w:lang w:val="fr-CH"/>
              </w:rPr>
              <w:t>Tel: +250 788303492</w:t>
            </w:r>
          </w:p>
          <w:p w:rsidR="00CE6C29" w:rsidRPr="00CE6C29" w:rsidP="000C3B6C" w14:paraId="1A09E444" w14:textId="77777777">
            <w:r w:rsidRPr="00CE6C29">
              <w:t xml:space="preserve">Email: </w:t>
            </w:r>
            <w:hyperlink r:id="rId6" w:history="1">
              <w:r w:rsidRPr="00CE6C29">
                <w:rPr>
                  <w:color w:val="0000FF"/>
                  <w:u w:val="single"/>
                </w:rPr>
                <w:t>info@rsb.gov.rw</w:t>
              </w:r>
            </w:hyperlink>
          </w:p>
          <w:p w:rsidR="00CE6C29" w:rsidRPr="00CE6C29" w:rsidP="000C3B6C" w14:paraId="0886CA77" w14:textId="472B680B">
            <w:pPr>
              <w:spacing w:after="120"/>
            </w:pPr>
            <w:r w:rsidRPr="00CE6C29">
              <w:t xml:space="preserve">Website: </w:t>
            </w:r>
            <w:hyperlink r:id="rId7" w:history="1">
              <w:r w:rsidRPr="00854CEF" w:rsidR="00C73119">
                <w:rPr>
                  <w:rStyle w:val="Hyperlink"/>
                </w:rPr>
                <w:t>www.rsb.gov.rw</w:t>
              </w:r>
            </w:hyperlink>
            <w:r w:rsidR="00C73119">
              <w:t xml:space="preserve"> </w:t>
            </w:r>
          </w:p>
        </w:tc>
      </w:tr>
    </w:tbl>
    <w:p w:rsidR="00EE3A11" w:rsidRPr="002F6A28" w:rsidP="00887259" w14:paraId="69040C5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C3474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025B1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CE7A11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EBB1D6" w14:textId="77777777">
    <w:pPr>
      <w:pStyle w:val="Header"/>
      <w:pBdr>
        <w:bottom w:val="single" w:sz="4" w:space="1" w:color="auto"/>
      </w:pBdr>
      <w:tabs>
        <w:tab w:val="clear" w:pos="4513"/>
        <w:tab w:val="clear" w:pos="9027"/>
      </w:tabs>
      <w:jc w:val="center"/>
    </w:pPr>
    <w:r w:rsidRPr="002F6A28">
      <w:t>tbtSymbol</w:t>
    </w:r>
  </w:p>
  <w:p w:rsidR="009239F7" w:rsidRPr="002F6A28" w:rsidP="009239F7" w14:paraId="0D1229C0" w14:textId="77777777">
    <w:pPr>
      <w:pStyle w:val="Header"/>
      <w:pBdr>
        <w:bottom w:val="single" w:sz="4" w:space="1" w:color="auto"/>
      </w:pBdr>
      <w:tabs>
        <w:tab w:val="clear" w:pos="4513"/>
        <w:tab w:val="clear" w:pos="9027"/>
      </w:tabs>
      <w:jc w:val="center"/>
    </w:pPr>
  </w:p>
  <w:p w:rsidR="009239F7" w:rsidRPr="002F6A28" w:rsidP="009239F7" w14:paraId="0CD8576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29E148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B1E048" w14:textId="77777777">
    <w:pPr>
      <w:pStyle w:val="Header"/>
      <w:pBdr>
        <w:bottom w:val="single" w:sz="4" w:space="1" w:color="auto"/>
      </w:pBdr>
      <w:tabs>
        <w:tab w:val="clear" w:pos="4513"/>
        <w:tab w:val="clear" w:pos="9027"/>
      </w:tabs>
      <w:jc w:val="center"/>
    </w:pPr>
    <w:bookmarkStart w:id="0" w:name="spsSymbolHeader"/>
    <w:r w:rsidRPr="002F6A28">
      <w:t>G/TBT/N/RWA/1358</w:t>
    </w:r>
    <w:bookmarkEnd w:id="0"/>
  </w:p>
  <w:p w:rsidR="009239F7" w:rsidRPr="002F6A28" w:rsidP="009239F7" w14:paraId="23F60379" w14:textId="77777777">
    <w:pPr>
      <w:pStyle w:val="Header"/>
      <w:pBdr>
        <w:bottom w:val="single" w:sz="4" w:space="1" w:color="auto"/>
      </w:pBdr>
      <w:tabs>
        <w:tab w:val="clear" w:pos="4513"/>
        <w:tab w:val="clear" w:pos="9027"/>
      </w:tabs>
      <w:jc w:val="center"/>
    </w:pPr>
  </w:p>
  <w:p w:rsidR="009239F7" w:rsidRPr="002F6A28" w:rsidP="009239F7" w14:paraId="2FF0003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5450DD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69D01B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93F274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6D2F8BB" w14:textId="77777777">
          <w:pPr>
            <w:jc w:val="right"/>
            <w:rPr>
              <w:b/>
              <w:color w:val="FF0000"/>
              <w:szCs w:val="16"/>
            </w:rPr>
          </w:pPr>
        </w:p>
      </w:tc>
    </w:tr>
    <w:bookmarkEnd w:id="1"/>
    <w:tr w14:paraId="6FA86D9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058876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F4F48CC" w14:textId="77777777">
          <w:pPr>
            <w:jc w:val="right"/>
            <w:rPr>
              <w:b/>
              <w:szCs w:val="16"/>
            </w:rPr>
          </w:pPr>
        </w:p>
      </w:tc>
    </w:tr>
    <w:tr w14:paraId="74BC4F4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B80E52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AE455CD" w14:textId="77777777">
          <w:pPr>
            <w:jc w:val="right"/>
            <w:rPr>
              <w:b/>
              <w:szCs w:val="16"/>
            </w:rPr>
          </w:pPr>
          <w:bookmarkStart w:id="2" w:name="bmkSymbols"/>
          <w:r w:rsidRPr="002F6A28">
            <w:rPr>
              <w:b/>
              <w:szCs w:val="16"/>
            </w:rPr>
            <w:t>G/TBT/N/RWA/1358</w:t>
          </w:r>
          <w:bookmarkEnd w:id="2"/>
        </w:p>
      </w:tc>
    </w:tr>
    <w:tr w14:paraId="70822A9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739F3F0" w14:textId="77777777"/>
      </w:tc>
      <w:tc>
        <w:tcPr>
          <w:tcW w:w="5448" w:type="dxa"/>
          <w:gridSpan w:val="2"/>
          <w:shd w:val="clear" w:color="auto" w:fill="FFFFFF"/>
          <w:tcMar>
            <w:left w:w="108" w:type="dxa"/>
            <w:right w:w="108" w:type="dxa"/>
          </w:tcMar>
          <w:vAlign w:val="center"/>
        </w:tcPr>
        <w:p w:rsidR="00ED54E0" w:rsidRPr="009239F7" w:rsidP="00B801E9" w14:paraId="0550315B" w14:textId="77777777">
          <w:pPr>
            <w:jc w:val="right"/>
            <w:rPr>
              <w:szCs w:val="16"/>
            </w:rPr>
          </w:pPr>
          <w:bookmarkStart w:id="3" w:name="spsDateDistribution"/>
          <w:bookmarkStart w:id="4" w:name="bmkDate"/>
          <w:r w:rsidRPr="009239F7">
            <w:rPr>
              <w:szCs w:val="16"/>
            </w:rPr>
            <w:t>23 February 2026</w:t>
          </w:r>
          <w:bookmarkEnd w:id="3"/>
          <w:bookmarkEnd w:id="4"/>
        </w:p>
      </w:tc>
    </w:tr>
    <w:tr w14:paraId="206B685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A84449" w14:textId="77777777">
          <w:pPr>
            <w:jc w:val="left"/>
            <w:rPr>
              <w:b/>
            </w:rPr>
          </w:pPr>
          <w:bookmarkStart w:id="5" w:name="bmkSerial"/>
          <w:r>
            <w:rPr>
              <w:rFonts w:ascii="Verdana" w:eastAsia="Verdana" w:hAnsi="Verdana" w:cs="Verdana"/>
              <w:b w:val="0"/>
              <w:color w:val="FF0000"/>
              <w:sz w:val="18"/>
            </w:rPr>
            <w:t>(26-1266)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E507A2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5C032E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8E856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D9FC7C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096E7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7871555">
    <w:abstractNumId w:val="9"/>
  </w:num>
  <w:num w:numId="2" w16cid:durableId="356855856">
    <w:abstractNumId w:val="7"/>
  </w:num>
  <w:num w:numId="3" w16cid:durableId="1914118990">
    <w:abstractNumId w:val="6"/>
  </w:num>
  <w:num w:numId="4" w16cid:durableId="896863039">
    <w:abstractNumId w:val="5"/>
  </w:num>
  <w:num w:numId="5" w16cid:durableId="1247568143">
    <w:abstractNumId w:val="4"/>
  </w:num>
  <w:num w:numId="6" w16cid:durableId="653530308">
    <w:abstractNumId w:val="12"/>
  </w:num>
  <w:num w:numId="7" w16cid:durableId="486551269">
    <w:abstractNumId w:val="11"/>
  </w:num>
  <w:num w:numId="8" w16cid:durableId="37435902">
    <w:abstractNumId w:val="10"/>
  </w:num>
  <w:num w:numId="9" w16cid:durableId="1565486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531091">
    <w:abstractNumId w:val="13"/>
  </w:num>
  <w:num w:numId="11" w16cid:durableId="1506021203">
    <w:abstractNumId w:val="8"/>
  </w:num>
  <w:num w:numId="12" w16cid:durableId="35201379">
    <w:abstractNumId w:val="3"/>
  </w:num>
  <w:num w:numId="13" w16cid:durableId="518009116">
    <w:abstractNumId w:val="2"/>
  </w:num>
  <w:num w:numId="14" w16cid:durableId="2027512805">
    <w:abstractNumId w:val="1"/>
  </w:num>
  <w:num w:numId="15" w16cid:durableId="1061488554">
    <w:abstractNumId w:val="0"/>
  </w:num>
  <w:num w:numId="16" w16cid:durableId="551767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97AF3"/>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B30CE"/>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CEF"/>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1860"/>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3119"/>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FD6"/>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9CC1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C7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1075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1C0B557-B50F-4AE2-A454-9C27D43A8F5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571</Words>
  <Characters>2893</Characters>
  <Application>Microsoft Office Word</Application>
  <DocSecurity>0</DocSecurity>
  <Lines>160</Lines>
  <Paragraphs>96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2026-02-23T11:26:00Z</dcterms:created>
  <dcterms:modified xsi:type="dcterms:W3CDTF">2026-02-23T11:26:00Z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