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D7E91" w:rsidP="009D7E91" w14:paraId="49C45B98" w14:textId="77777777">
      <w:pPr>
        <w:pStyle w:val="Title"/>
        <w:rPr>
          <w:caps w:val="0"/>
          <w:kern w:val="0"/>
        </w:rPr>
      </w:pPr>
      <w:r w:rsidRPr="009D7E91">
        <w:rPr>
          <w:caps w:val="0"/>
          <w:kern w:val="0"/>
        </w:rPr>
        <w:t>NOTIFICATION</w:t>
      </w:r>
    </w:p>
    <w:p w:rsidR="00D67386" w:rsidRPr="009D7E91" w:rsidP="009D7E91" w14:paraId="0CFABB9A" w14:textId="77777777">
      <w:pPr>
        <w:jc w:val="center"/>
      </w:pPr>
      <w:r w:rsidRPr="009D7E91">
        <w:t>La notification suivante est communiquée conformément à l'article 10.6.</w:t>
      </w:r>
    </w:p>
    <w:p w:rsidR="00D67386" w:rsidRPr="009D7E91" w:rsidP="009D7E91" w14:paraId="09FBAD35" w14:textId="77777777"/>
    <w:tbl>
      <w:tblPr>
        <w:tblW w:w="5000" w:type="pct"/>
        <w:tblBorders>
          <w:top w:val="single" w:sz="4" w:space="0" w:color="auto"/>
          <w:left w:val="double" w:sz="6" w:space="0" w:color="auto"/>
          <w:bottom w:val="single" w:sz="4" w:space="0" w:color="auto"/>
          <w:right w:val="double" w:sz="6" w:space="0" w:color="auto"/>
          <w:insideH w:val="single" w:sz="6" w:space="0" w:color="auto"/>
        </w:tblBorders>
        <w:tblLayout w:type="fixed"/>
        <w:tblLook w:val="0000"/>
      </w:tblPr>
      <w:tblGrid>
        <w:gridCol w:w="696"/>
        <w:gridCol w:w="8284"/>
      </w:tblGrid>
      <w:tr w14:paraId="0172367D" w14:textId="77777777" w:rsidTr="00EA7B8E">
        <w:tblPrEx>
          <w:tblW w:w="5000" w:type="pct"/>
          <w:tblLayout w:type="fixed"/>
          <w:tblLook w:val="0000"/>
        </w:tblPrEx>
        <w:tc>
          <w:tcPr>
            <w:tcW w:w="696" w:type="dxa"/>
            <w:tcBorders>
              <w:top w:val="double" w:sz="4" w:space="0" w:color="auto"/>
            </w:tcBorders>
          </w:tcPr>
          <w:p w:rsidR="008D58AD" w:rsidRPr="009D7E91" w:rsidP="009D7E91" w14:paraId="17308ED1" w14:textId="77777777">
            <w:pPr>
              <w:spacing w:before="120" w:after="120"/>
              <w:rPr>
                <w:b/>
              </w:rPr>
            </w:pPr>
            <w:r w:rsidRPr="009D7E91">
              <w:rPr>
                <w:b/>
              </w:rPr>
              <w:t>1.</w:t>
            </w:r>
          </w:p>
        </w:tc>
        <w:tc>
          <w:tcPr>
            <w:tcW w:w="8284" w:type="dxa"/>
            <w:tcBorders>
              <w:top w:val="double" w:sz="4" w:space="0" w:color="auto"/>
            </w:tcBorders>
          </w:tcPr>
          <w:p w:rsidR="008D58AD" w:rsidRPr="009D7E91" w:rsidP="00606AB0" w14:paraId="3CE3A31F" w14:textId="77777777">
            <w:pPr>
              <w:spacing w:before="120" w:after="120"/>
            </w:pPr>
            <w:r w:rsidRPr="009D7E91">
              <w:rPr>
                <w:b/>
              </w:rPr>
              <w:t>Membre notifiant:</w:t>
            </w:r>
            <w:r w:rsidRPr="009D7E91" w:rsidR="006F55D1">
              <w:t xml:space="preserve"> </w:t>
            </w:r>
            <w:r w:rsidRPr="009D7E91" w:rsidR="006F55D1">
              <w:rPr>
                <w:u w:val="single"/>
              </w:rPr>
              <w:t>COMORES</w:t>
            </w:r>
          </w:p>
          <w:p w:rsidR="008D58AD" w:rsidRPr="009D7E91" w:rsidP="009D7E91" w14:paraId="03F5A2C6" w14:textId="77777777">
            <w:pPr>
              <w:spacing w:after="120"/>
            </w:pPr>
            <w:r w:rsidRPr="009D7E91">
              <w:rPr>
                <w:b/>
              </w:rPr>
              <w:t>Le cas échéant, pouvoirs publics locaux concernés (articles 3.2 et 7.2):</w:t>
            </w:r>
            <w:r w:rsidRPr="009D7E91" w:rsidR="006F55D1">
              <w:t xml:space="preserve"> </w:t>
            </w:r>
          </w:p>
        </w:tc>
      </w:tr>
      <w:tr w14:paraId="63E67166" w14:textId="77777777" w:rsidTr="00EA7B8E">
        <w:tblPrEx>
          <w:tblW w:w="5000" w:type="pct"/>
          <w:tblLayout w:type="fixed"/>
          <w:tblLook w:val="0000"/>
        </w:tblPrEx>
        <w:tc>
          <w:tcPr>
            <w:tcW w:w="696" w:type="dxa"/>
          </w:tcPr>
          <w:p w:rsidR="008D58AD" w:rsidRPr="009D7E91" w:rsidP="009D7E91" w14:paraId="15A10180" w14:textId="77777777">
            <w:pPr>
              <w:spacing w:before="120" w:after="120"/>
              <w:rPr>
                <w:b/>
              </w:rPr>
            </w:pPr>
            <w:r w:rsidRPr="009D7E91">
              <w:rPr>
                <w:b/>
              </w:rPr>
              <w:t>2.</w:t>
            </w:r>
          </w:p>
        </w:tc>
        <w:tc>
          <w:tcPr>
            <w:tcW w:w="8284" w:type="dxa"/>
          </w:tcPr>
          <w:p w:rsidR="008D58AD" w:rsidRPr="009D7E91" w:rsidP="00C66168" w14:paraId="5CC345CB" w14:textId="77777777">
            <w:pPr>
              <w:spacing w:before="120" w:after="120"/>
            </w:pPr>
            <w:r w:rsidRPr="009D7E91">
              <w:rPr>
                <w:b/>
              </w:rPr>
              <w:t>Organisme responsable:</w:t>
            </w:r>
            <w:r w:rsidRPr="009D7E91" w:rsidR="006F55D1">
              <w:t xml:space="preserve"> </w:t>
            </w:r>
          </w:p>
          <w:p w:rsidR="006F55D1" w:rsidRPr="009D7E91" w:rsidP="00C66168" w14:paraId="4A596E3A" w14:textId="77777777">
            <w:pPr>
              <w:spacing w:after="120"/>
            </w:pPr>
            <w:r w:rsidRPr="009D7E91">
              <w:t>Ministère de l'Environnement chargé du Tourisme</w:t>
            </w:r>
          </w:p>
        </w:tc>
      </w:tr>
      <w:tr w14:paraId="5FB9EE2D" w14:textId="77777777" w:rsidTr="00EA7B8E">
        <w:tblPrEx>
          <w:tblW w:w="5000" w:type="pct"/>
          <w:tblLayout w:type="fixed"/>
          <w:tblLook w:val="0000"/>
        </w:tblPrEx>
        <w:tc>
          <w:tcPr>
            <w:tcW w:w="696" w:type="dxa"/>
          </w:tcPr>
          <w:p w:rsidR="008D58AD" w:rsidRPr="009D7E91" w:rsidP="009D7E91" w14:paraId="1A993717" w14:textId="77777777">
            <w:pPr>
              <w:spacing w:before="120" w:after="120"/>
              <w:rPr>
                <w:b/>
              </w:rPr>
            </w:pPr>
            <w:r w:rsidRPr="009D7E91">
              <w:rPr>
                <w:b/>
              </w:rPr>
              <w:t>3.</w:t>
            </w:r>
          </w:p>
        </w:tc>
        <w:tc>
          <w:tcPr>
            <w:tcW w:w="8284" w:type="dxa"/>
          </w:tcPr>
          <w:p w:rsidR="008D58AD" w:rsidRPr="009D7E91" w:rsidP="009D7E91" w14:paraId="02E32974" w14:textId="77777777">
            <w:pPr>
              <w:spacing w:before="120" w:after="120"/>
            </w:pPr>
            <w:r w:rsidRPr="009D7E91">
              <w:rPr>
                <w:b/>
              </w:rPr>
              <w:t>Notification au titre de l'article 2.9.2 [X], 2.10.1 [ ], 5.6.2 [ ], 5.7.1 [ ],</w:t>
            </w:r>
            <w:r w:rsidR="00D81AFF">
              <w:rPr>
                <w:b/>
              </w:rPr>
              <w:t xml:space="preserve"> 3.2 [ ], 7.2 [ ],</w:t>
            </w:r>
            <w:r w:rsidRPr="009D7E91">
              <w:rPr>
                <w:b/>
              </w:rPr>
              <w:t xml:space="preserve"> autres</w:t>
            </w:r>
            <w:r w:rsidR="00EE5F18">
              <w:rPr>
                <w:b/>
              </w:rPr>
              <w:t>:</w:t>
            </w:r>
            <w:r w:rsidRPr="006717EC" w:rsidR="006717EC">
              <w:t xml:space="preserve"> </w:t>
            </w:r>
          </w:p>
        </w:tc>
      </w:tr>
      <w:tr w14:paraId="58CB0779" w14:textId="77777777" w:rsidTr="00EA7B8E">
        <w:tblPrEx>
          <w:tblW w:w="5000" w:type="pct"/>
          <w:tblLayout w:type="fixed"/>
          <w:tblLook w:val="0000"/>
        </w:tblPrEx>
        <w:tc>
          <w:tcPr>
            <w:tcW w:w="696" w:type="dxa"/>
          </w:tcPr>
          <w:p w:rsidR="008D58AD" w:rsidRPr="009D7E91" w:rsidP="009D7E91" w14:paraId="7AF3268A" w14:textId="77777777">
            <w:pPr>
              <w:spacing w:before="120" w:after="120"/>
              <w:rPr>
                <w:b/>
              </w:rPr>
            </w:pPr>
            <w:r w:rsidRPr="009D7E91">
              <w:rPr>
                <w:b/>
              </w:rPr>
              <w:t>4.</w:t>
            </w:r>
          </w:p>
        </w:tc>
        <w:tc>
          <w:tcPr>
            <w:tcW w:w="8284" w:type="dxa"/>
          </w:tcPr>
          <w:p w:rsidR="008D58AD" w:rsidRPr="009D7E91" w:rsidP="009D7E91" w14:paraId="5D1A6614" w14:textId="77777777">
            <w:pPr>
              <w:spacing w:before="120" w:after="120"/>
            </w:pPr>
            <w:r w:rsidRPr="00625DE6">
              <w:rPr>
                <w:b/>
                <w:bCs/>
                <w:szCs w:val="18"/>
                <w:lang w:val="fr-CH"/>
              </w:rPr>
              <w:t>Produits visés (</w:t>
            </w:r>
            <w:r w:rsidRPr="00625DE6">
              <w:rPr>
                <w:b/>
                <w:bCs/>
                <w:iCs/>
                <w:szCs w:val="18"/>
                <w:lang w:val="fr-CH"/>
              </w:rPr>
              <w:t>codes</w:t>
            </w:r>
            <w:r w:rsidRPr="00625DE6">
              <w:rPr>
                <w:b/>
                <w:bCs/>
                <w:szCs w:val="18"/>
                <w:lang w:val="fr-CH"/>
              </w:rPr>
              <w:t xml:space="preserve"> du SH ou </w:t>
            </w:r>
            <w:r w:rsidRPr="00625DE6">
              <w:rPr>
                <w:b/>
                <w:bCs/>
                <w:iCs/>
                <w:szCs w:val="18"/>
                <w:lang w:val="fr-CH"/>
              </w:rPr>
              <w:t>lignes</w:t>
            </w:r>
            <w:r w:rsidRPr="00625DE6">
              <w:rPr>
                <w:b/>
                <w:bCs/>
                <w:szCs w:val="18"/>
                <w:lang w:val="fr-CH"/>
              </w:rPr>
              <w:t xml:space="preserve"> tarif</w:t>
            </w:r>
            <w:r w:rsidRPr="00625DE6">
              <w:rPr>
                <w:b/>
                <w:bCs/>
                <w:iCs/>
                <w:szCs w:val="18"/>
                <w:lang w:val="fr-CH"/>
              </w:rPr>
              <w:t>aires</w:t>
            </w:r>
            <w:r w:rsidRPr="00625DE6">
              <w:rPr>
                <w:b/>
                <w:bCs/>
                <w:szCs w:val="18"/>
                <w:lang w:val="fr-CH"/>
              </w:rPr>
              <w:t xml:space="preserve"> national</w:t>
            </w:r>
            <w:r w:rsidRPr="00625DE6">
              <w:rPr>
                <w:b/>
                <w:bCs/>
                <w:iCs/>
                <w:szCs w:val="18"/>
                <w:lang w:val="fr-CH"/>
              </w:rPr>
              <w:t>es</w:t>
            </w:r>
            <w:r w:rsidRPr="00625DE6">
              <w:rPr>
                <w:b/>
                <w:bCs/>
                <w:szCs w:val="18"/>
                <w:lang w:val="fr-CH"/>
              </w:rPr>
              <w:t>. Les numéros de l'ICS peuvent aussi être indiqués, le cas échéant):</w:t>
            </w:r>
            <w:r w:rsidRPr="009D7E91">
              <w:t xml:space="preserve"> Articles de transport ou d'emballage, en matières plastiques; bouchons, couvercles, capsules et autres dispositifs de fermeture, en matières plastiques (Code(s) du SH: 3923) les sachets en plastiques non biodégradables</w:t>
            </w:r>
          </w:p>
        </w:tc>
      </w:tr>
      <w:tr w14:paraId="69452804" w14:textId="77777777" w:rsidTr="00EA7B8E">
        <w:tblPrEx>
          <w:tblW w:w="5000" w:type="pct"/>
          <w:tblLayout w:type="fixed"/>
          <w:tblLook w:val="0000"/>
        </w:tblPrEx>
        <w:tc>
          <w:tcPr>
            <w:tcW w:w="696" w:type="dxa"/>
          </w:tcPr>
          <w:p w:rsidR="008D58AD" w:rsidRPr="009D7E91" w:rsidP="009D7E91" w14:paraId="7FEA909C" w14:textId="77777777">
            <w:pPr>
              <w:spacing w:before="120" w:after="120"/>
              <w:rPr>
                <w:b/>
              </w:rPr>
            </w:pPr>
            <w:r w:rsidRPr="009D7E91">
              <w:rPr>
                <w:b/>
              </w:rPr>
              <w:t>5.</w:t>
            </w:r>
          </w:p>
        </w:tc>
        <w:tc>
          <w:tcPr>
            <w:tcW w:w="8284" w:type="dxa"/>
          </w:tcPr>
          <w:p w:rsidR="008D58AD" w:rsidP="009D7E91" w14:paraId="64BAA0D6" w14:textId="77777777">
            <w:pPr>
              <w:spacing w:before="120" w:after="120"/>
              <w:rPr>
                <w:bCs/>
              </w:rPr>
            </w:pPr>
            <w:r w:rsidRPr="00625DE6">
              <w:rPr>
                <w:b/>
                <w:bCs/>
                <w:iCs/>
                <w:szCs w:val="18"/>
                <w:lang w:val="fr-CH"/>
              </w:rPr>
              <w:t>Renseignements concernant le texte notifié (</w:t>
            </w:r>
            <w:r w:rsidRPr="00790189" w:rsidR="00790189">
              <w:rPr>
                <w:b/>
                <w:bCs/>
                <w:iCs/>
                <w:szCs w:val="18"/>
                <w:lang w:val="fr-CH"/>
              </w:rPr>
              <w:t>intitulé, nombre de pages et langues, et moyens d'accès</w:t>
            </w:r>
            <w:r w:rsidRPr="00625DE6">
              <w:rPr>
                <w:b/>
                <w:bCs/>
                <w:iCs/>
                <w:szCs w:val="18"/>
                <w:lang w:val="fr-CH"/>
              </w:rPr>
              <w:t>):</w:t>
            </w:r>
            <w:r w:rsidRPr="009D7E91" w:rsidR="006F55D1">
              <w:t xml:space="preserve"> Projet d'Arrêté 7 N°26 fixant les conditions d'octroi de l'autorisation spéciale relative aux sachets et emballages plastiques non biodégradables; (3 page(s), en français)</w:t>
            </w:r>
          </w:p>
          <w:p w:rsidR="00C66168" w:rsidRPr="00E129E7" w:rsidP="009D7E91" w14:paraId="66B92ECC" w14:textId="77777777">
            <w:pPr>
              <w:spacing w:before="120" w:after="120"/>
            </w:pPr>
            <w:r w:rsidRPr="00625DE6">
              <w:rPr>
                <w:b/>
                <w:bCs/>
                <w:iCs/>
                <w:szCs w:val="18"/>
                <w:lang w:val="fr-CH"/>
              </w:rPr>
              <w:t>Lien vers le texte notifié et/ou coordonnées de l'organisme ou de l'autorité qui peut fournir une copie du texte notifié sur demande:</w:t>
            </w:r>
            <w:r w:rsidR="00E129E7">
              <w:rPr>
                <w:iCs/>
                <w:szCs w:val="18"/>
                <w:lang w:val="fr-CH"/>
              </w:rPr>
              <w:t xml:space="preserve"> </w:t>
            </w:r>
          </w:p>
        </w:tc>
      </w:tr>
      <w:tr w14:paraId="517B1DC5" w14:textId="77777777" w:rsidTr="00EA7B8E">
        <w:tblPrEx>
          <w:tblW w:w="5000" w:type="pct"/>
          <w:tblLayout w:type="fixed"/>
          <w:tblLook w:val="0000"/>
        </w:tblPrEx>
        <w:tc>
          <w:tcPr>
            <w:tcW w:w="696" w:type="dxa"/>
          </w:tcPr>
          <w:p w:rsidR="008D58AD" w:rsidRPr="009D7E91" w:rsidP="009D7E91" w14:paraId="1D1D0E7A" w14:textId="77777777">
            <w:pPr>
              <w:spacing w:before="120" w:after="120"/>
              <w:rPr>
                <w:b/>
              </w:rPr>
            </w:pPr>
            <w:r w:rsidRPr="009D7E91">
              <w:rPr>
                <w:b/>
              </w:rPr>
              <w:t>6.</w:t>
            </w:r>
          </w:p>
        </w:tc>
        <w:tc>
          <w:tcPr>
            <w:tcW w:w="8284" w:type="dxa"/>
          </w:tcPr>
          <w:p w:rsidR="008D58AD" w:rsidRPr="009D7E91" w:rsidP="009D7E91" w14:paraId="7EC11CCF" w14:textId="77777777">
            <w:pPr>
              <w:spacing w:before="120" w:after="120"/>
            </w:pPr>
            <w:r w:rsidRPr="009D7E91">
              <w:rPr>
                <w:b/>
              </w:rPr>
              <w:t>Teneur:</w:t>
            </w:r>
            <w:r w:rsidRPr="009D7E91" w:rsidR="006F55D1">
              <w:t xml:space="preserve"> Le présent arrêté a pour objet de fixer les conditions d'octroi de l'autorisation spéciale pour la production, l'importation, la commercialisation ou la distribution des emballages et des sachets plastiques non biodégradables destinés directement aux activités sanitaires, de recherche scientifique et expérimentale ou destinés aux mesures de sécurité et de sûreté nationales en Union des Comores, conformément à l'article 13 de la loi N°17-011/AU du 06 Juin 2017, portant interdiction de la production, de l'importation, de la commercialisation et de la distribution des emballages et sachets plastiques, non biodégradables en Union des Comores. </w:t>
            </w:r>
          </w:p>
        </w:tc>
      </w:tr>
      <w:tr w14:paraId="463EFF61" w14:textId="77777777" w:rsidTr="00EA7B8E">
        <w:tblPrEx>
          <w:tblW w:w="5000" w:type="pct"/>
          <w:tblLayout w:type="fixed"/>
          <w:tblLook w:val="0000"/>
        </w:tblPrEx>
        <w:tc>
          <w:tcPr>
            <w:tcW w:w="696" w:type="dxa"/>
          </w:tcPr>
          <w:p w:rsidR="008D58AD" w:rsidRPr="009D7E91" w:rsidP="009D7E91" w14:paraId="7B31F00B" w14:textId="77777777">
            <w:pPr>
              <w:spacing w:before="120" w:after="120"/>
              <w:rPr>
                <w:b/>
              </w:rPr>
            </w:pPr>
            <w:r w:rsidRPr="009D7E91">
              <w:rPr>
                <w:b/>
              </w:rPr>
              <w:t>7.</w:t>
            </w:r>
          </w:p>
        </w:tc>
        <w:tc>
          <w:tcPr>
            <w:tcW w:w="8284" w:type="dxa"/>
          </w:tcPr>
          <w:p w:rsidR="008D58AD" w:rsidRPr="009D7E91" w:rsidP="00305401" w14:paraId="45D2E243" w14:textId="77777777">
            <w:pPr>
              <w:spacing w:before="120" w:after="120"/>
            </w:pPr>
            <w:r w:rsidRPr="00625DE6">
              <w:rPr>
                <w:b/>
                <w:bCs/>
                <w:szCs w:val="18"/>
                <w:lang w:val="fr-CH"/>
              </w:rPr>
              <w:t>Objectif et justification, y compris la nature des problèmes urgents, le cas échéant:</w:t>
            </w:r>
            <w:r w:rsidRPr="009D7E91">
              <w:t xml:space="preserve"> Protection de la santé et de la vie des personnes; Protection de l'environnement</w:t>
            </w:r>
          </w:p>
        </w:tc>
      </w:tr>
      <w:tr w14:paraId="0F43F74E" w14:textId="77777777" w:rsidTr="00EA7B8E">
        <w:tblPrEx>
          <w:tblW w:w="5000" w:type="pct"/>
          <w:tblLayout w:type="fixed"/>
          <w:tblLook w:val="0000"/>
        </w:tblPrEx>
        <w:tc>
          <w:tcPr>
            <w:tcW w:w="696" w:type="dxa"/>
          </w:tcPr>
          <w:p w:rsidR="008D58AD" w:rsidRPr="009D7E91" w:rsidP="003A4A65" w14:paraId="79D7FA4F" w14:textId="77777777">
            <w:pPr>
              <w:spacing w:before="120" w:after="120"/>
              <w:rPr>
                <w:b/>
              </w:rPr>
            </w:pPr>
            <w:r w:rsidRPr="009D7E91">
              <w:rPr>
                <w:b/>
              </w:rPr>
              <w:t>8.</w:t>
            </w:r>
          </w:p>
        </w:tc>
        <w:tc>
          <w:tcPr>
            <w:tcW w:w="8284" w:type="dxa"/>
          </w:tcPr>
          <w:p w:rsidR="00C66168" w:rsidRPr="00E129E7" w:rsidP="00B10A03" w14:paraId="6DAAB33D" w14:textId="77777777">
            <w:pPr>
              <w:spacing w:before="120" w:after="120"/>
            </w:pPr>
            <w:r w:rsidRPr="00625DE6">
              <w:rPr>
                <w:b/>
                <w:bCs/>
                <w:szCs w:val="18"/>
                <w:lang w:val="fr-CH"/>
              </w:rPr>
              <w:t>Documents pertinents:</w:t>
            </w:r>
            <w:r w:rsidRPr="009D7E91" w:rsidR="006F55D1">
              <w:t xml:space="preserve"> </w:t>
            </w:r>
          </w:p>
          <w:p w:rsidR="006F55D1" w:rsidRPr="009D7E91" w:rsidP="00B10A03" w14:paraId="48AB25D1" w14:textId="77777777">
            <w:pPr>
              <w:spacing w:before="120" w:after="120"/>
            </w:pPr>
            <w:r w:rsidRPr="009D7E91">
              <w:t>- la loi N°17-011/AU du 06 Juin 2017 portant interdiction de la production, de l'importation, de la commercialisation et de la distribution des emballages et sachets plastiques non biodégradables en Union des Comores, promulguée par le Décret N°17-107/PR du 05 Octobre 2017 ;</w:t>
            </w:r>
          </w:p>
          <w:p w:rsidR="006F55D1" w:rsidRPr="009D7E91" w:rsidP="00B10A03" w14:paraId="68D6AA1A" w14:textId="77777777">
            <w:pPr>
              <w:spacing w:before="120" w:after="120"/>
            </w:pPr>
            <w:r w:rsidRPr="009D7E91">
              <w:t>- la loi N°24-018/AU du 25 décembre 2025 modifiant et complétant la loi cadre N°94-018/AF du 22 juin 1994 portant relative à l'Environnement promulguée par le décret N°25-004/PR du 22 janvier 2025</w:t>
            </w:r>
          </w:p>
          <w:p w:rsidR="006F55D1" w:rsidRPr="009D7E91" w:rsidP="00B10A03" w14:paraId="0E4885DC" w14:textId="77777777">
            <w:pPr>
              <w:spacing w:before="120" w:after="120"/>
            </w:pPr>
            <w:r w:rsidRPr="009D7E91">
              <w:t>- la loi N°24-019/AU du 25 décembre 2024, portant Loi cadre pour la prévention et la Gestion durable des déchets en Union des Comores, promulguée par le décret N°25-005PR du 22 janvier 2024.</w:t>
            </w:r>
          </w:p>
        </w:tc>
      </w:tr>
      <w:tr w14:paraId="7E6932E0" w14:textId="77777777" w:rsidTr="00EA7B8E">
        <w:tblPrEx>
          <w:tblW w:w="5000" w:type="pct"/>
          <w:tblLayout w:type="fixed"/>
          <w:tblLook w:val="0000"/>
        </w:tblPrEx>
        <w:tc>
          <w:tcPr>
            <w:tcW w:w="696" w:type="dxa"/>
          </w:tcPr>
          <w:p w:rsidR="006F55D1" w:rsidRPr="009D7E91" w:rsidP="009D7E91" w14:paraId="3D732F85" w14:textId="77777777">
            <w:pPr>
              <w:spacing w:before="120" w:after="120"/>
              <w:rPr>
                <w:b/>
              </w:rPr>
            </w:pPr>
            <w:r w:rsidRPr="009D7E91">
              <w:rPr>
                <w:b/>
              </w:rPr>
              <w:t>9.</w:t>
            </w:r>
          </w:p>
        </w:tc>
        <w:tc>
          <w:tcPr>
            <w:tcW w:w="8284" w:type="dxa"/>
          </w:tcPr>
          <w:p w:rsidR="006F55D1" w:rsidRPr="009D7E91" w:rsidP="009B0524" w14:paraId="06F2E666" w14:textId="77777777">
            <w:pPr>
              <w:spacing w:before="120" w:after="120"/>
              <w:ind w:left="34"/>
              <w:rPr>
                <w:bCs/>
              </w:rPr>
            </w:pPr>
            <w:r w:rsidRPr="00625DE6">
              <w:rPr>
                <w:b/>
                <w:bCs/>
                <w:szCs w:val="18"/>
                <w:lang w:val="fr-CH"/>
              </w:rPr>
              <w:t>Date projetée pour l'adoption:</w:t>
            </w:r>
            <w:r w:rsidRPr="009D7E91">
              <w:t xml:space="preserve"> À déterminer</w:t>
            </w:r>
          </w:p>
          <w:p w:rsidR="006F55D1" w:rsidRPr="009D7E91" w:rsidP="009B0524" w14:paraId="2F7D8BCE" w14:textId="77777777">
            <w:pPr>
              <w:spacing w:after="120"/>
              <w:ind w:left="34"/>
              <w:rPr>
                <w:b/>
              </w:rPr>
            </w:pPr>
            <w:r w:rsidRPr="00625DE6">
              <w:rPr>
                <w:b/>
                <w:bCs/>
                <w:szCs w:val="18"/>
                <w:lang w:val="fr-CH"/>
              </w:rPr>
              <w:t>Date projetée pour l'entrée en vigueur:</w:t>
            </w:r>
            <w:r w:rsidRPr="009D7E91">
              <w:t xml:space="preserve"> À déterminer</w:t>
            </w:r>
          </w:p>
        </w:tc>
      </w:tr>
      <w:tr w14:paraId="34F42B00" w14:textId="77777777" w:rsidTr="00EA7B8E">
        <w:tblPrEx>
          <w:tblW w:w="5000" w:type="pct"/>
          <w:tblLayout w:type="fixed"/>
          <w:tblLook w:val="0000"/>
        </w:tblPrEx>
        <w:tc>
          <w:tcPr>
            <w:tcW w:w="696" w:type="dxa"/>
            <w:tcBorders>
              <w:bottom w:val="double" w:sz="4" w:space="0" w:color="auto"/>
            </w:tcBorders>
          </w:tcPr>
          <w:p w:rsidR="008D58AD" w:rsidRPr="009D7E91" w:rsidP="009D7E91" w14:paraId="24D1C1CC" w14:textId="77777777">
            <w:pPr>
              <w:spacing w:before="120" w:after="120"/>
              <w:rPr>
                <w:b/>
              </w:rPr>
            </w:pPr>
            <w:r w:rsidRPr="009D7E91">
              <w:rPr>
                <w:b/>
              </w:rPr>
              <w:t>10.</w:t>
            </w:r>
          </w:p>
        </w:tc>
        <w:tc>
          <w:tcPr>
            <w:tcW w:w="8284" w:type="dxa"/>
            <w:tcBorders>
              <w:bottom w:val="double" w:sz="4" w:space="0" w:color="auto"/>
            </w:tcBorders>
          </w:tcPr>
          <w:p w:rsidR="00C66168" w:rsidRPr="00E129E7" w:rsidP="009D7E91" w14:paraId="1E0483DB" w14:textId="77777777">
            <w:pPr>
              <w:spacing w:before="120" w:after="120"/>
            </w:pPr>
            <w:r w:rsidRPr="00625DE6">
              <w:rPr>
                <w:b/>
                <w:bCs/>
                <w:szCs w:val="18"/>
                <w:lang w:val="fr-CH"/>
              </w:rPr>
              <w:t xml:space="preserve">Présentation </w:t>
            </w:r>
            <w:r w:rsidRPr="00625DE6">
              <w:rPr>
                <w:b/>
                <w:bCs/>
                <w:iCs/>
                <w:szCs w:val="18"/>
                <w:lang w:val="fr-CH"/>
              </w:rPr>
              <w:t>des</w:t>
            </w:r>
            <w:r w:rsidRPr="00625DE6">
              <w:rPr>
                <w:b/>
                <w:bCs/>
                <w:szCs w:val="18"/>
                <w:lang w:val="fr-CH"/>
              </w:rPr>
              <w:t xml:space="preserve"> observations</w:t>
            </w:r>
          </w:p>
          <w:p w:rsidR="008D58AD" w:rsidP="009D7E91" w14:paraId="2E432CBF" w14:textId="77777777">
            <w:pPr>
              <w:spacing w:before="120" w:after="120"/>
              <w:rPr>
                <w:bCs/>
              </w:rPr>
            </w:pPr>
            <w:r w:rsidRPr="00625DE6">
              <w:rPr>
                <w:b/>
                <w:bCs/>
                <w:iCs/>
                <w:szCs w:val="18"/>
                <w:lang w:val="fr-CH"/>
              </w:rPr>
              <w:t>Date limite pour la présentation des observations:</w:t>
            </w:r>
            <w:r w:rsidRPr="009D7E91" w:rsidR="006F55D1">
              <w:t xml:space="preserve"> 25 août 2026</w:t>
            </w:r>
          </w:p>
          <w:p w:rsidR="00C66168" w:rsidRPr="00B460FE" w:rsidP="00C66168" w14:paraId="62185A1A" w14:textId="77777777">
            <w:pPr>
              <w:tabs>
                <w:tab w:val="left" w:pos="1418"/>
                <w:tab w:val="left" w:pos="2127"/>
                <w:tab w:val="left" w:pos="2835"/>
                <w:tab w:val="left" w:pos="3402"/>
              </w:tabs>
              <w:spacing w:before="120" w:after="120"/>
              <w:rPr>
                <w:iCs/>
                <w:szCs w:val="18"/>
                <w:lang w:val="fr-CH"/>
              </w:rPr>
            </w:pPr>
            <w:r w:rsidRPr="00625DE6">
              <w:rPr>
                <w:b/>
                <w:bCs/>
                <w:iCs/>
                <w:szCs w:val="18"/>
                <w:lang w:val="fr-CH"/>
              </w:rPr>
              <w:t>[</w:t>
            </w:r>
            <w:r w:rsidRPr="00625DE6">
              <w:rPr>
                <w:b/>
                <w:bCs/>
                <w:iCs/>
                <w:szCs w:val="18"/>
              </w:rPr>
              <w:t>X</w:t>
            </w:r>
            <w:r w:rsidRPr="00625DE6">
              <w:rPr>
                <w:b/>
                <w:bCs/>
                <w:iCs/>
                <w:szCs w:val="18"/>
                <w:lang w:val="fr-CH"/>
              </w:rPr>
              <w:t>] 60 jours à compter de la date de notification</w:t>
            </w:r>
            <w:r w:rsidRPr="00B460FE" w:rsidR="00B460FE">
              <w:rPr>
                <w:iCs/>
                <w:szCs w:val="18"/>
                <w:lang w:val="fr-CH"/>
              </w:rPr>
              <w:t xml:space="preserve"> </w:t>
            </w:r>
          </w:p>
          <w:p w:rsidR="00C66168" w:rsidRPr="00E129E7" w:rsidP="009D7E91" w14:paraId="5B45728F" w14:textId="77777777">
            <w:pPr>
              <w:spacing w:before="120" w:after="120"/>
            </w:pPr>
            <w:r w:rsidRPr="00625DE6">
              <w:rPr>
                <w:b/>
                <w:bCs/>
                <w:iCs/>
                <w:szCs w:val="18"/>
                <w:lang w:val="fr-CH"/>
              </w:rPr>
              <w:t>Coordonnées de l'organisme ou de l'autorité désigné(e) pour s'occuper des observations concernant la notification:</w:t>
            </w:r>
            <w:r w:rsidR="00E129E7">
              <w:rPr>
                <w:iCs/>
                <w:szCs w:val="18"/>
                <w:lang w:val="fr-CH"/>
              </w:rPr>
              <w:t xml:space="preserve"> </w:t>
            </w:r>
          </w:p>
          <w:p w:rsidR="00E129E7" w:rsidP="009D7E91" w14:paraId="1248ACFF" w14:textId="77777777">
            <w:pPr>
              <w:rPr>
                <w:iCs/>
                <w:szCs w:val="18"/>
              </w:rPr>
            </w:pPr>
            <w:r>
              <w:rPr>
                <w:iCs/>
                <w:szCs w:val="18"/>
              </w:rPr>
              <w:t>M. Boinali Mohamed</w:t>
            </w:r>
          </w:p>
          <w:p w:rsidR="00E129E7" w:rsidP="009D7E91" w14:paraId="09216C56" w14:textId="77777777">
            <w:pPr>
              <w:rPr>
                <w:iCs/>
                <w:szCs w:val="18"/>
              </w:rPr>
            </w:pPr>
            <w:r>
              <w:rPr>
                <w:iCs/>
                <w:szCs w:val="18"/>
              </w:rPr>
              <w:t>Chef de service de normalisation et de la qualité au sein de la direction de l'industrie</w:t>
            </w:r>
          </w:p>
          <w:p w:rsidR="00E129E7" w:rsidP="009D7E91" w14:paraId="6245CD79" w14:textId="77777777">
            <w:pPr>
              <w:rPr>
                <w:iCs/>
                <w:szCs w:val="18"/>
              </w:rPr>
            </w:pPr>
            <w:r>
              <w:rPr>
                <w:iCs/>
                <w:szCs w:val="18"/>
              </w:rPr>
              <w:t>Ministère de l'économie, des investissements, de l'industrie, chargé de l'intervention régionale</w:t>
            </w:r>
          </w:p>
          <w:p w:rsidR="00E129E7" w:rsidRPr="008356CA" w:rsidP="009D7E91" w14:paraId="2AE87792" w14:textId="77777777">
            <w:pPr>
              <w:rPr>
                <w:iCs/>
                <w:szCs w:val="18"/>
                <w:lang w:val="pt-BR"/>
              </w:rPr>
            </w:pPr>
            <w:r w:rsidRPr="008356CA">
              <w:rPr>
                <w:iCs/>
                <w:szCs w:val="18"/>
                <w:lang w:val="pt-BR"/>
              </w:rPr>
              <w:t>Tel: + (269) 3350974/4960685</w:t>
            </w:r>
          </w:p>
          <w:p w:rsidR="00E129E7" w:rsidRPr="008356CA" w:rsidP="009D7E91" w14:paraId="333FE2FF" w14:textId="77777777">
            <w:pPr>
              <w:spacing w:after="120"/>
              <w:rPr>
                <w:iCs/>
                <w:szCs w:val="18"/>
                <w:lang w:val="pt-BR"/>
              </w:rPr>
            </w:pPr>
            <w:r w:rsidRPr="008356CA">
              <w:rPr>
                <w:iCs/>
                <w:szCs w:val="18"/>
                <w:lang w:val="pt-BR"/>
              </w:rPr>
              <w:t xml:space="preserve">E-mail: </w:t>
            </w:r>
            <w:hyperlink r:id="rId5" w:history="1">
              <w:r w:rsidRPr="008356CA">
                <w:rPr>
                  <w:iCs/>
                  <w:color w:val="0000FF"/>
                  <w:szCs w:val="18"/>
                  <w:u w:val="single"/>
                  <w:lang w:val="pt-BR"/>
                </w:rPr>
                <w:t>zaboinamed2014@gmail.com</w:t>
              </w:r>
            </w:hyperlink>
          </w:p>
        </w:tc>
      </w:tr>
    </w:tbl>
    <w:p w:rsidR="006F55D1" w:rsidRPr="008356CA" w:rsidP="00C66168" w14:paraId="16227B17" w14:textId="77777777">
      <w:pPr>
        <w:jc w:val="center"/>
        <w:rPr>
          <w:lang w:val="pt-BR"/>
        </w:rPr>
      </w:pPr>
    </w:p>
    <w:sectPr w:rsidSect="00AE3C0C">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4443463D" w14:textId="77777777">
    <w:pPr>
      <w:pStyle w:val="Footer"/>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rsidP="00D67386" w14:paraId="32F0712A" w14:textId="77777777">
    <w:pPr>
      <w:pStyle w:val="Footer"/>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14:paraId="6C9E5D01" w14:textId="77777777">
    <w:r w:rsidRPr="009D7E91">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2853BE63" w14:textId="77777777">
    <w:pPr>
      <w:pStyle w:val="Header"/>
      <w:pBdr>
        <w:bottom w:val="single" w:sz="4" w:space="1" w:color="auto"/>
      </w:pBdr>
      <w:tabs>
        <w:tab w:val="clear" w:pos="4513"/>
        <w:tab w:val="clear" w:pos="9027"/>
      </w:tabs>
      <w:jc w:val="center"/>
    </w:pPr>
    <w:r w:rsidRPr="009D7E91">
      <w:t>tbtSymbol</w:t>
    </w:r>
  </w:p>
  <w:p w:rsidR="00D67386" w:rsidRPr="009D7E91" w:rsidP="00D67386" w14:paraId="2FBB9AAE" w14:textId="77777777">
    <w:pPr>
      <w:pStyle w:val="Header"/>
      <w:pBdr>
        <w:bottom w:val="single" w:sz="4" w:space="1" w:color="auto"/>
      </w:pBdr>
      <w:tabs>
        <w:tab w:val="clear" w:pos="4513"/>
        <w:tab w:val="clear" w:pos="9027"/>
      </w:tabs>
      <w:jc w:val="center"/>
    </w:pPr>
  </w:p>
  <w:p w:rsidR="00D67386" w:rsidRPr="009D7E91" w:rsidP="00D67386" w14:paraId="4B29E053" w14:textId="77777777">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rsidR="00D67386" w:rsidRPr="009D7E91" w:rsidP="00D67386" w14:paraId="208FA53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3009124D" w14:textId="77777777">
    <w:pPr>
      <w:pStyle w:val="Header"/>
      <w:pBdr>
        <w:bottom w:val="single" w:sz="4" w:space="1" w:color="auto"/>
      </w:pBdr>
      <w:tabs>
        <w:tab w:val="clear" w:pos="4513"/>
        <w:tab w:val="clear" w:pos="9027"/>
      </w:tabs>
      <w:jc w:val="center"/>
    </w:pPr>
    <w:bookmarkStart w:id="0" w:name="spsSymbolHeader"/>
    <w:r w:rsidRPr="009D7E91">
      <w:t>G/TBT/N/COM/1</w:t>
    </w:r>
    <w:bookmarkEnd w:id="0"/>
  </w:p>
  <w:p w:rsidR="00D67386" w:rsidRPr="009D7E91" w:rsidP="00D67386" w14:paraId="670FF095" w14:textId="77777777">
    <w:pPr>
      <w:pStyle w:val="Header"/>
      <w:pBdr>
        <w:bottom w:val="single" w:sz="4" w:space="1" w:color="auto"/>
      </w:pBdr>
      <w:tabs>
        <w:tab w:val="clear" w:pos="4513"/>
        <w:tab w:val="clear" w:pos="9027"/>
      </w:tabs>
      <w:jc w:val="center"/>
    </w:pPr>
  </w:p>
  <w:p w:rsidR="00D67386" w:rsidRPr="009D7E91" w:rsidP="00D67386" w14:paraId="698D7172" w14:textId="77777777">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2</w:t>
    </w:r>
    <w:r w:rsidRPr="009D7E91">
      <w:fldChar w:fldCharType="end"/>
    </w:r>
    <w:r w:rsidRPr="009D7E91">
      <w:t xml:space="preserve"> -</w:t>
    </w:r>
  </w:p>
  <w:p w:rsidR="00DD65B2" w:rsidRPr="009D7E91" w:rsidP="00D67386" w14:paraId="7246232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9E8E288" w14:textId="77777777" w:rsidTr="00A37621">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172B05" w:rsidRPr="00D82AF6" w:rsidP="006D265C" w14:paraId="1914E221" w14:textId="77777777">
          <w:pPr>
            <w:rPr>
              <w:noProof/>
              <w:szCs w:val="18"/>
              <w:lang w:eastAsia="en-GB"/>
            </w:rPr>
          </w:pPr>
          <w:bookmarkStart w:id="1" w:name="bmkRestricted" w:colFirst="1" w:colLast="1"/>
        </w:p>
      </w:tc>
      <w:tc>
        <w:tcPr>
          <w:tcW w:w="5448" w:type="dxa"/>
          <w:gridSpan w:val="2"/>
          <w:shd w:val="clear" w:color="auto" w:fill="FFFFFF"/>
          <w:tcMar>
            <w:left w:w="108" w:type="dxa"/>
            <w:right w:w="108" w:type="dxa"/>
          </w:tcMar>
          <w:vAlign w:val="center"/>
        </w:tcPr>
        <w:p w:rsidR="00172B05" w:rsidRPr="00D82AF6" w:rsidP="006D265C" w14:paraId="5133C3BC" w14:textId="77777777">
          <w:pPr>
            <w:jc w:val="right"/>
            <w:rPr>
              <w:b/>
              <w:color w:val="FF0000"/>
              <w:szCs w:val="18"/>
            </w:rPr>
          </w:pPr>
        </w:p>
      </w:tc>
    </w:tr>
    <w:bookmarkEnd w:id="1"/>
    <w:tr w14:paraId="09CC73E3" w14:textId="77777777" w:rsidTr="00A37621">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172B05" w:rsidRPr="00D82AF6" w:rsidP="006D265C" w14:paraId="06475014" w14:textId="77777777">
          <w:pPr>
            <w:jc w:val="left"/>
            <w:rPr>
              <w:szCs w:val="18"/>
            </w:rPr>
          </w:pPr>
          <w:r>
            <w:rPr>
              <w:noProof/>
              <w:szCs w:val="18"/>
              <w:lang w:eastAsia="en-GB"/>
            </w:rPr>
            <w:drawing>
              <wp:inline distT="0" distB="0" distL="0" distR="0">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172B05" w:rsidRPr="00D82AF6" w:rsidP="006D265C" w14:paraId="78D7CC7B" w14:textId="77777777">
          <w:pPr>
            <w:jc w:val="right"/>
            <w:rPr>
              <w:b/>
              <w:szCs w:val="18"/>
            </w:rPr>
          </w:pPr>
        </w:p>
      </w:tc>
    </w:tr>
    <w:tr w14:paraId="7C421BC8" w14:textId="77777777" w:rsidTr="00A37621">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172B05" w:rsidRPr="00D82AF6" w:rsidP="006D265C" w14:paraId="03867FD8" w14:textId="77777777">
          <w:pPr>
            <w:jc w:val="left"/>
            <w:rPr>
              <w:noProof/>
              <w:szCs w:val="18"/>
              <w:lang w:eastAsia="en-GB"/>
            </w:rPr>
          </w:pPr>
        </w:p>
      </w:tc>
      <w:tc>
        <w:tcPr>
          <w:tcW w:w="5448" w:type="dxa"/>
          <w:gridSpan w:val="2"/>
          <w:shd w:val="clear" w:color="auto" w:fill="FFFFFF"/>
          <w:tcMar>
            <w:left w:w="108" w:type="dxa"/>
            <w:right w:w="108" w:type="dxa"/>
          </w:tcMar>
        </w:tcPr>
        <w:p w:rsidR="00D67386" w:rsidRPr="009D7E91" w:rsidP="006D265C" w14:paraId="59E333AB" w14:textId="77777777">
          <w:pPr>
            <w:jc w:val="right"/>
            <w:rPr>
              <w:b/>
              <w:szCs w:val="18"/>
            </w:rPr>
          </w:pPr>
          <w:bookmarkStart w:id="2" w:name="bmkSymbols"/>
          <w:r w:rsidRPr="009D7E91">
            <w:rPr>
              <w:b/>
              <w:szCs w:val="18"/>
            </w:rPr>
            <w:t>G/TBT/N/COM/1</w:t>
          </w:r>
          <w:bookmarkEnd w:id="2"/>
        </w:p>
      </w:tc>
    </w:tr>
    <w:tr w14:paraId="43B198FF" w14:textId="77777777" w:rsidTr="00A37621">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172B05" w:rsidRPr="00D82AF6" w:rsidP="006D265C" w14:paraId="0F30C0BE" w14:textId="77777777">
          <w:pPr>
            <w:rPr>
              <w:szCs w:val="18"/>
            </w:rPr>
          </w:pPr>
        </w:p>
      </w:tc>
      <w:tc>
        <w:tcPr>
          <w:tcW w:w="5448" w:type="dxa"/>
          <w:gridSpan w:val="2"/>
          <w:shd w:val="clear" w:color="auto" w:fill="FFFFFF"/>
          <w:tcMar>
            <w:left w:w="108" w:type="dxa"/>
            <w:right w:w="108" w:type="dxa"/>
          </w:tcMar>
          <w:vAlign w:val="center"/>
        </w:tcPr>
        <w:p w:rsidR="00172B05" w:rsidRPr="00D82AF6" w:rsidP="006D265C" w14:paraId="5C5F00E1" w14:textId="72ED3887">
          <w:pPr>
            <w:jc w:val="right"/>
            <w:rPr>
              <w:szCs w:val="18"/>
            </w:rPr>
          </w:pPr>
          <w:bookmarkStart w:id="3" w:name="spsDateDistribution"/>
          <w:bookmarkStart w:id="4" w:name="bmkDate"/>
          <w:r w:rsidRPr="00D82AF6">
            <w:rPr>
              <w:szCs w:val="18"/>
            </w:rPr>
            <w:t>2</w:t>
          </w:r>
          <w:r w:rsidR="00201B82">
            <w:rPr>
              <w:szCs w:val="18"/>
            </w:rPr>
            <w:t>9</w:t>
          </w:r>
          <w:r w:rsidRPr="00D82AF6">
            <w:rPr>
              <w:szCs w:val="18"/>
            </w:rPr>
            <w:t xml:space="preserve"> juin 2026</w:t>
          </w:r>
          <w:bookmarkEnd w:id="3"/>
          <w:bookmarkEnd w:id="4"/>
        </w:p>
      </w:tc>
    </w:tr>
    <w:tr w14:paraId="15DFB791" w14:textId="77777777" w:rsidTr="00A37621">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172B05" w:rsidRPr="00D82AF6" w:rsidP="006D265C" w14:paraId="0F473FA3" w14:textId="77777777">
          <w:pPr>
            <w:jc w:val="left"/>
            <w:rPr>
              <w:b/>
              <w:szCs w:val="18"/>
            </w:rPr>
          </w:pPr>
          <w:bookmarkStart w:id="5" w:name="bmkSerial"/>
          <w:r>
            <w:rPr>
              <w:rFonts w:ascii="Verdana" w:eastAsia="Verdana" w:hAnsi="Verdana" w:cs="Verdana"/>
              <w:b w:val="0"/>
              <w:color w:val="FF0000"/>
              <w:sz w:val="18"/>
            </w:rPr>
            <w:t>(26-4691)</w:t>
          </w:r>
          <w:bookmarkEnd w:id="5"/>
        </w:p>
      </w:tc>
      <w:tc>
        <w:tcPr>
          <w:tcW w:w="3325" w:type="dxa"/>
          <w:tcBorders>
            <w:bottom w:val="single" w:sz="4" w:space="0" w:color="auto"/>
          </w:tcBorders>
          <w:tcMar>
            <w:top w:w="0" w:type="dxa"/>
            <w:left w:w="108" w:type="dxa"/>
            <w:bottom w:w="57" w:type="dxa"/>
            <w:right w:w="108" w:type="dxa"/>
          </w:tcMar>
          <w:vAlign w:val="bottom"/>
        </w:tcPr>
        <w:p w:rsidR="00172B05" w:rsidRPr="00D82AF6" w:rsidP="006D265C" w14:paraId="3B611141" w14:textId="77777777">
          <w:pPr>
            <w:jc w:val="right"/>
            <w:rPr>
              <w:szCs w:val="18"/>
            </w:rPr>
          </w:pPr>
          <w:bookmarkStart w:id="6" w:name="bmkTotPages"/>
          <w:r w:rsidRPr="009D7E91">
            <w:rPr>
              <w:bCs/>
              <w:szCs w:val="18"/>
            </w:rPr>
            <w:t xml:space="preserve">Page: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rFonts w:ascii="Verdana" w:eastAsia="Calibri" w:hAnsi="Verdana"/>
              <w:bCs/>
              <w:noProof/>
              <w:sz w:val="18"/>
              <w:szCs w:val="18"/>
              <w:lang w:val="fr-FR" w:eastAsia="en-US" w:bidi="ar-SA"/>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rFonts w:ascii="Verdana" w:eastAsia="Calibri" w:hAnsi="Verdana"/>
              <w:bCs/>
              <w:noProof/>
              <w:sz w:val="18"/>
              <w:szCs w:val="18"/>
              <w:lang w:val="fr-FR" w:eastAsia="en-US" w:bidi="ar-SA"/>
            </w:rPr>
            <w:t>2</w:t>
          </w:r>
          <w:r w:rsidRPr="009D7E91">
            <w:rPr>
              <w:bCs/>
              <w:szCs w:val="18"/>
            </w:rPr>
            <w:fldChar w:fldCharType="end"/>
          </w:r>
          <w:bookmarkEnd w:id="6"/>
        </w:p>
      </w:tc>
    </w:tr>
    <w:tr w14:paraId="395CCEFE" w14:textId="77777777" w:rsidTr="00A37621">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172B05" w:rsidRPr="00D82AF6" w:rsidP="006D265C" w14:paraId="4291FE0F" w14:textId="77777777">
          <w:pPr>
            <w:jc w:val="left"/>
            <w:rPr>
              <w:szCs w:val="18"/>
            </w:rPr>
          </w:pPr>
          <w:bookmarkStart w:id="7" w:name="bmkCommittee"/>
          <w:r w:rsidRPr="009D7E91">
            <w:rPr>
              <w:b/>
              <w:szCs w:val="18"/>
            </w:rPr>
            <w:t>Comité des obstacles techniques au commerce</w:t>
          </w:r>
          <w:bookmarkEnd w:id="7"/>
        </w:p>
      </w:tc>
      <w:tc>
        <w:tcPr>
          <w:tcW w:w="3325" w:type="dxa"/>
          <w:tcBorders>
            <w:top w:val="single" w:sz="4" w:space="0" w:color="auto"/>
          </w:tcBorders>
          <w:tcMar>
            <w:top w:w="113" w:type="dxa"/>
            <w:left w:w="108" w:type="dxa"/>
            <w:bottom w:w="57" w:type="dxa"/>
            <w:right w:w="108" w:type="dxa"/>
          </w:tcMar>
          <w:vAlign w:val="center"/>
        </w:tcPr>
        <w:p w:rsidR="00172B05" w:rsidRPr="009D7E91" w:rsidP="006D265C" w14:paraId="75CC4AC1" w14:textId="77777777">
          <w:pPr>
            <w:jc w:val="right"/>
            <w:rPr>
              <w:bCs/>
              <w:szCs w:val="18"/>
            </w:rPr>
          </w:pPr>
          <w:bookmarkStart w:id="8" w:name="bmkLanguage"/>
          <w:r w:rsidRPr="009D7E91">
            <w:rPr>
              <w:bCs/>
              <w:szCs w:val="18"/>
            </w:rPr>
            <w:t>Original:</w:t>
          </w:r>
          <w:r w:rsidRPr="009D7E91" w:rsidR="006F55D1">
            <w:rPr>
              <w:bCs/>
              <w:szCs w:val="18"/>
            </w:rPr>
            <w:t xml:space="preserve"> </w:t>
          </w:r>
          <w:bookmarkStart w:id="9" w:name="spsOriginalLanguage"/>
          <w:r w:rsidRPr="009D7E91" w:rsidR="006F55D1">
            <w:rPr>
              <w:bCs/>
              <w:szCs w:val="18"/>
            </w:rPr>
            <w:t>français</w:t>
          </w:r>
          <w:bookmarkEnd w:id="8"/>
          <w:bookmarkEnd w:id="9"/>
        </w:p>
      </w:tc>
    </w:tr>
  </w:tbl>
  <w:p w:rsidR="00DD65B2" w:rsidRPr="009D7E91" w14:paraId="387DA9E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01240CB8"/>
    <w:numStyleLink w:val="LegalHeadings"/>
  </w:abstractNum>
  <w:abstractNum w:abstractNumId="13">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46568585">
    <w:abstractNumId w:val="8"/>
  </w:num>
  <w:num w:numId="2" w16cid:durableId="1467964654">
    <w:abstractNumId w:val="3"/>
  </w:num>
  <w:num w:numId="3" w16cid:durableId="1982615685">
    <w:abstractNumId w:val="2"/>
  </w:num>
  <w:num w:numId="4" w16cid:durableId="1139568224">
    <w:abstractNumId w:val="1"/>
  </w:num>
  <w:num w:numId="5" w16cid:durableId="1327056070">
    <w:abstractNumId w:val="0"/>
  </w:num>
  <w:num w:numId="6" w16cid:durableId="237330948">
    <w:abstractNumId w:val="13"/>
  </w:num>
  <w:num w:numId="7" w16cid:durableId="2085298590">
    <w:abstractNumId w:val="11"/>
  </w:num>
  <w:num w:numId="8" w16cid:durableId="1142892933">
    <w:abstractNumId w:val="14"/>
  </w:num>
  <w:num w:numId="9" w16cid:durableId="1814130869">
    <w:abstractNumId w:val="10"/>
  </w:num>
  <w:num w:numId="10" w16cid:durableId="1501970800">
    <w:abstractNumId w:val="9"/>
  </w:num>
  <w:num w:numId="11" w16cid:durableId="997153304">
    <w:abstractNumId w:val="7"/>
  </w:num>
  <w:num w:numId="12" w16cid:durableId="146823691">
    <w:abstractNumId w:val="6"/>
  </w:num>
  <w:num w:numId="13" w16cid:durableId="1819883553">
    <w:abstractNumId w:val="5"/>
  </w:num>
  <w:num w:numId="14" w16cid:durableId="1826428733">
    <w:abstractNumId w:val="4"/>
  </w:num>
  <w:num w:numId="15" w16cid:durableId="244845660">
    <w:abstractNumId w:val="12"/>
  </w:num>
  <w:num w:numId="16" w16cid:durableId="571306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0E22"/>
    <w:rsid w:val="00064E8E"/>
    <w:rsid w:val="00067D73"/>
    <w:rsid w:val="00071B26"/>
    <w:rsid w:val="000763C1"/>
    <w:rsid w:val="000903DD"/>
    <w:rsid w:val="00090836"/>
    <w:rsid w:val="000A04DA"/>
    <w:rsid w:val="000A7098"/>
    <w:rsid w:val="000C2A6F"/>
    <w:rsid w:val="000C3951"/>
    <w:rsid w:val="000C724C"/>
    <w:rsid w:val="000D032C"/>
    <w:rsid w:val="000D23F0"/>
    <w:rsid w:val="000D5551"/>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65444"/>
    <w:rsid w:val="00166082"/>
    <w:rsid w:val="00172B05"/>
    <w:rsid w:val="001B50DF"/>
    <w:rsid w:val="001D7618"/>
    <w:rsid w:val="001E3F78"/>
    <w:rsid w:val="001E683D"/>
    <w:rsid w:val="00201B82"/>
    <w:rsid w:val="00211821"/>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62624"/>
    <w:rsid w:val="003711B0"/>
    <w:rsid w:val="00371F55"/>
    <w:rsid w:val="0037719F"/>
    <w:rsid w:val="003A0E78"/>
    <w:rsid w:val="003A19CB"/>
    <w:rsid w:val="003A4A65"/>
    <w:rsid w:val="003B6D4C"/>
    <w:rsid w:val="003B79F3"/>
    <w:rsid w:val="003E7669"/>
    <w:rsid w:val="003F0353"/>
    <w:rsid w:val="003F7DE7"/>
    <w:rsid w:val="00410C09"/>
    <w:rsid w:val="00425766"/>
    <w:rsid w:val="0043612A"/>
    <w:rsid w:val="004479B8"/>
    <w:rsid w:val="00450063"/>
    <w:rsid w:val="00461179"/>
    <w:rsid w:val="00462D22"/>
    <w:rsid w:val="00481B71"/>
    <w:rsid w:val="00496CD2"/>
    <w:rsid w:val="004A030D"/>
    <w:rsid w:val="004B6E98"/>
    <w:rsid w:val="004C592D"/>
    <w:rsid w:val="004D5FBF"/>
    <w:rsid w:val="004E06C5"/>
    <w:rsid w:val="004E15E1"/>
    <w:rsid w:val="0051241E"/>
    <w:rsid w:val="00516FF3"/>
    <w:rsid w:val="005238D2"/>
    <w:rsid w:val="00543041"/>
    <w:rsid w:val="005469C3"/>
    <w:rsid w:val="005631BA"/>
    <w:rsid w:val="005672E8"/>
    <w:rsid w:val="00571EE1"/>
    <w:rsid w:val="00574437"/>
    <w:rsid w:val="005763C8"/>
    <w:rsid w:val="00585782"/>
    <w:rsid w:val="00592965"/>
    <w:rsid w:val="005A4C5A"/>
    <w:rsid w:val="005B571A"/>
    <w:rsid w:val="005C6D4E"/>
    <w:rsid w:val="005D20E7"/>
    <w:rsid w:val="005D21E5"/>
    <w:rsid w:val="005E14C9"/>
    <w:rsid w:val="00606AB0"/>
    <w:rsid w:val="00617F32"/>
    <w:rsid w:val="006248DB"/>
    <w:rsid w:val="00625DE6"/>
    <w:rsid w:val="0065315E"/>
    <w:rsid w:val="00655CD7"/>
    <w:rsid w:val="00663621"/>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37AC3"/>
    <w:rsid w:val="00744D6F"/>
    <w:rsid w:val="00762DEE"/>
    <w:rsid w:val="007827D8"/>
    <w:rsid w:val="00790189"/>
    <w:rsid w:val="00795114"/>
    <w:rsid w:val="007A761F"/>
    <w:rsid w:val="007B4290"/>
    <w:rsid w:val="007B7BB1"/>
    <w:rsid w:val="007C428B"/>
    <w:rsid w:val="007C4316"/>
    <w:rsid w:val="007C4766"/>
    <w:rsid w:val="007D39B5"/>
    <w:rsid w:val="007E2EBA"/>
    <w:rsid w:val="00817E7E"/>
    <w:rsid w:val="008258B3"/>
    <w:rsid w:val="00834FB6"/>
    <w:rsid w:val="008356CA"/>
    <w:rsid w:val="008402D9"/>
    <w:rsid w:val="00842D59"/>
    <w:rsid w:val="008474BD"/>
    <w:rsid w:val="0085388D"/>
    <w:rsid w:val="00854DE0"/>
    <w:rsid w:val="00860996"/>
    <w:rsid w:val="00885409"/>
    <w:rsid w:val="008862DD"/>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E29F6"/>
    <w:rsid w:val="009F3C58"/>
    <w:rsid w:val="009F491D"/>
    <w:rsid w:val="00A047EB"/>
    <w:rsid w:val="00A12863"/>
    <w:rsid w:val="00A21B67"/>
    <w:rsid w:val="00A21DC7"/>
    <w:rsid w:val="00A268E2"/>
    <w:rsid w:val="00A270A3"/>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10A03"/>
    <w:rsid w:val="00B20481"/>
    <w:rsid w:val="00B21C10"/>
    <w:rsid w:val="00B24B85"/>
    <w:rsid w:val="00B30392"/>
    <w:rsid w:val="00B456CD"/>
    <w:rsid w:val="00B45F9E"/>
    <w:rsid w:val="00B460FE"/>
    <w:rsid w:val="00B46156"/>
    <w:rsid w:val="00B50024"/>
    <w:rsid w:val="00B62E2A"/>
    <w:rsid w:val="00B739EE"/>
    <w:rsid w:val="00B83FE6"/>
    <w:rsid w:val="00B86771"/>
    <w:rsid w:val="00BA183C"/>
    <w:rsid w:val="00BC17E5"/>
    <w:rsid w:val="00BC2650"/>
    <w:rsid w:val="00BC2866"/>
    <w:rsid w:val="00BF3356"/>
    <w:rsid w:val="00C020A9"/>
    <w:rsid w:val="00C03F29"/>
    <w:rsid w:val="00C1160B"/>
    <w:rsid w:val="00C34F2D"/>
    <w:rsid w:val="00C464FD"/>
    <w:rsid w:val="00C47345"/>
    <w:rsid w:val="00C569AB"/>
    <w:rsid w:val="00C63ED5"/>
    <w:rsid w:val="00C64B9D"/>
    <w:rsid w:val="00C65229"/>
    <w:rsid w:val="00C66168"/>
    <w:rsid w:val="00C67AA4"/>
    <w:rsid w:val="00C71274"/>
    <w:rsid w:val="00C7379C"/>
    <w:rsid w:val="00CB2591"/>
    <w:rsid w:val="00CB44EC"/>
    <w:rsid w:val="00CC106D"/>
    <w:rsid w:val="00CD0195"/>
    <w:rsid w:val="00CD563B"/>
    <w:rsid w:val="00CD5D7D"/>
    <w:rsid w:val="00CD5EC3"/>
    <w:rsid w:val="00CE1C9D"/>
    <w:rsid w:val="00D1143F"/>
    <w:rsid w:val="00D1416C"/>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29E7"/>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A7B8E"/>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712E71"/>
  <w15:docId w15:val="{64A8AACF-8412-4037-8CB5-A311EFBF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D7E91"/>
    <w:rPr>
      <w:rFonts w:ascii="Verdana" w:eastAsia="Times New Roman" w:hAnsi="Verdana"/>
      <w:b/>
      <w:color w:val="006283"/>
      <w:sz w:val="18"/>
      <w:szCs w:val="22"/>
      <w:lang w:val="fr-FR"/>
    </w:rPr>
  </w:style>
  <w:style w:type="character" w:customStyle="1" w:styleId="Heading2Char">
    <w:name w:val="Heading 2 Char"/>
    <w:link w:val="Heading2"/>
    <w:uiPriority w:val="2"/>
    <w:rsid w:val="009D7E91"/>
    <w:rPr>
      <w:rFonts w:ascii="Verdana" w:eastAsia="Times New Roman" w:hAnsi="Verdana"/>
      <w:b/>
      <w:bCs/>
      <w:color w:val="006283"/>
      <w:sz w:val="18"/>
      <w:szCs w:val="26"/>
      <w:lang w:val="fr-FR"/>
    </w:rPr>
  </w:style>
  <w:style w:type="character" w:customStyle="1" w:styleId="Heading3Char">
    <w:name w:val="Heading 3 Char"/>
    <w:link w:val="Heading3"/>
    <w:uiPriority w:val="2"/>
    <w:rsid w:val="009D7E91"/>
    <w:rPr>
      <w:rFonts w:ascii="Verdana" w:eastAsia="Times New Roman" w:hAnsi="Verdana"/>
      <w:b/>
      <w:bCs/>
      <w:color w:val="006283"/>
      <w:sz w:val="18"/>
      <w:szCs w:val="22"/>
      <w:lang w:val="fr-FR"/>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D7E91"/>
    <w:rPr>
      <w:rFonts w:ascii="Verdana" w:eastAsia="Times New Roman" w:hAnsi="Verdana"/>
      <w:b/>
      <w:iCs/>
      <w:color w:val="006283"/>
      <w:sz w:val="18"/>
      <w:szCs w:val="22"/>
      <w:lang w:val="fr-FR"/>
    </w:rPr>
  </w:style>
  <w:style w:type="character" w:customStyle="1" w:styleId="Heading7Char">
    <w:name w:val="Heading 7 Char"/>
    <w:link w:val="Heading7"/>
    <w:uiPriority w:val="2"/>
    <w:rsid w:val="009D7E91"/>
    <w:rPr>
      <w:rFonts w:ascii="Verdana" w:eastAsia="Times New Roman" w:hAnsi="Verdana"/>
      <w:b/>
      <w:iCs/>
      <w:color w:val="006283"/>
      <w:sz w:val="18"/>
      <w:szCs w:val="22"/>
      <w:lang w:val="fr-FR"/>
    </w:rPr>
  </w:style>
  <w:style w:type="character" w:customStyle="1" w:styleId="Heading8Char">
    <w:name w:val="Heading 8 Char"/>
    <w:link w:val="Heading8"/>
    <w:uiPriority w:val="2"/>
    <w:rsid w:val="009D7E91"/>
    <w:rPr>
      <w:rFonts w:ascii="Verdana" w:eastAsia="Times New Roman" w:hAnsi="Verdana"/>
      <w:b/>
      <w:i/>
      <w:color w:val="006283"/>
      <w:sz w:val="18"/>
      <w:lang w:val="fr-FR"/>
    </w:rPr>
  </w:style>
  <w:style w:type="character" w:customStyle="1" w:styleId="Heading9Char">
    <w:name w:val="Heading 9 Char"/>
    <w:link w:val="Heading9"/>
    <w:uiPriority w:val="2"/>
    <w:rsid w:val="009D7E9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fr-FR"/>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fr-FR"/>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fr-FR"/>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fr-FR"/>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fr-FR"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fr-FR"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fr-FR"/>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fr-FR"/>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fr-FR"/>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fr-FR"/>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fr-FR"/>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fr-FR"/>
    </w:rPr>
  </w:style>
  <w:style w:type="character" w:styleId="BookTitle">
    <w:name w:val="Book Title"/>
    <w:uiPriority w:val="99"/>
    <w:semiHidden/>
    <w:qFormat/>
    <w:rsid w:val="009D7E91"/>
    <w:rPr>
      <w:b/>
      <w:bCs/>
      <w:smallCaps/>
      <w:spacing w:val="5"/>
      <w:lang w:val="fr-FR"/>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fr-FR"/>
    </w:rPr>
  </w:style>
  <w:style w:type="character" w:styleId="CommentReference">
    <w:name w:val="annotation reference"/>
    <w:uiPriority w:val="99"/>
    <w:semiHidden/>
    <w:unhideWhenUsed/>
    <w:rsid w:val="009D7E91"/>
    <w:rPr>
      <w:sz w:val="16"/>
      <w:szCs w:val="16"/>
      <w:lang w:val="fr-FR"/>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fr-FR"/>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fr-FR"/>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fr-FR"/>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fr-FR"/>
    </w:rPr>
  </w:style>
  <w:style w:type="character" w:styleId="Emphasis">
    <w:name w:val="Emphasis"/>
    <w:uiPriority w:val="99"/>
    <w:semiHidden/>
    <w:qFormat/>
    <w:rsid w:val="009D7E91"/>
    <w:rPr>
      <w:i/>
      <w:iCs/>
      <w:lang w:val="fr-FR"/>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fr-FR"/>
    </w:rPr>
  </w:style>
  <w:style w:type="character" w:styleId="HTMLAcronym">
    <w:name w:val="HTML Acronym"/>
    <w:uiPriority w:val="99"/>
    <w:semiHidden/>
    <w:unhideWhenUsed/>
    <w:rsid w:val="009D7E91"/>
    <w:rPr>
      <w:lang w:val="fr-FR"/>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fr-FR"/>
    </w:rPr>
  </w:style>
  <w:style w:type="character" w:styleId="HTMLCite">
    <w:name w:val="HTML Cite"/>
    <w:uiPriority w:val="99"/>
    <w:semiHidden/>
    <w:unhideWhenUsed/>
    <w:rsid w:val="009D7E91"/>
    <w:rPr>
      <w:i/>
      <w:iCs/>
      <w:lang w:val="fr-FR"/>
    </w:rPr>
  </w:style>
  <w:style w:type="character" w:styleId="HTMLCode">
    <w:name w:val="HTML Code"/>
    <w:uiPriority w:val="99"/>
    <w:semiHidden/>
    <w:unhideWhenUsed/>
    <w:rsid w:val="009D7E91"/>
    <w:rPr>
      <w:rFonts w:ascii="Consolas" w:hAnsi="Consolas" w:cs="Consolas"/>
      <w:sz w:val="20"/>
      <w:szCs w:val="20"/>
      <w:lang w:val="fr-FR"/>
    </w:rPr>
  </w:style>
  <w:style w:type="character" w:styleId="HTMLDefinition">
    <w:name w:val="HTML Definition"/>
    <w:uiPriority w:val="99"/>
    <w:semiHidden/>
    <w:unhideWhenUsed/>
    <w:rsid w:val="009D7E91"/>
    <w:rPr>
      <w:i/>
      <w:iCs/>
      <w:lang w:val="fr-FR"/>
    </w:rPr>
  </w:style>
  <w:style w:type="character" w:styleId="HTMLKeyboard">
    <w:name w:val="HTML Keyboard"/>
    <w:uiPriority w:val="99"/>
    <w:semiHidden/>
    <w:unhideWhenUsed/>
    <w:rsid w:val="009D7E9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fr-FR"/>
    </w:rPr>
  </w:style>
  <w:style w:type="character" w:styleId="HTMLSample">
    <w:name w:val="HTML Sample"/>
    <w:uiPriority w:val="99"/>
    <w:semiHidden/>
    <w:unhideWhenUsed/>
    <w:rsid w:val="009D7E91"/>
    <w:rPr>
      <w:rFonts w:ascii="Consolas" w:hAnsi="Consolas" w:cs="Consolas"/>
      <w:sz w:val="24"/>
      <w:szCs w:val="24"/>
      <w:lang w:val="fr-FR"/>
    </w:rPr>
  </w:style>
  <w:style w:type="character" w:styleId="HTMLTypewriter">
    <w:name w:val="HTML Typewriter"/>
    <w:uiPriority w:val="99"/>
    <w:semiHidden/>
    <w:unhideWhenUsed/>
    <w:rsid w:val="009D7E91"/>
    <w:rPr>
      <w:rFonts w:ascii="Consolas" w:hAnsi="Consolas" w:cs="Consolas"/>
      <w:sz w:val="20"/>
      <w:szCs w:val="20"/>
      <w:lang w:val="fr-FR"/>
    </w:rPr>
  </w:style>
  <w:style w:type="character" w:styleId="HTMLVariable">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fr-FR"/>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fr-FR"/>
    </w:rPr>
  </w:style>
  <w:style w:type="character" w:styleId="IntenseReference">
    <w:name w:val="Intense Reference"/>
    <w:uiPriority w:val="99"/>
    <w:semiHidden/>
    <w:qFormat/>
    <w:rsid w:val="009D7E91"/>
    <w:rPr>
      <w:b/>
      <w:bCs/>
      <w:smallCaps/>
      <w:color w:val="C0504D"/>
      <w:spacing w:val="5"/>
      <w:u w:val="single"/>
      <w:lang w:val="fr-FR"/>
    </w:rPr>
  </w:style>
  <w:style w:type="character" w:styleId="LineNumber">
    <w:name w:val="line number"/>
    <w:uiPriority w:val="99"/>
    <w:semiHidden/>
    <w:unhideWhenUsed/>
    <w:rsid w:val="009D7E91"/>
    <w:rPr>
      <w:lang w:val="fr-FR"/>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
    <w:uiPriority w:val="99"/>
    <w:semiHidden/>
    <w:rsid w:val="009D7E91"/>
    <w:rPr>
      <w:rFonts w:ascii="Consolas" w:hAnsi="Consolas" w:cs="Consolas"/>
      <w:lang w:val="fr-FR"/>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fr-FR"/>
    </w:rPr>
  </w:style>
  <w:style w:type="paragraph" w:styleId="NoSpacing">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fr-FR"/>
    </w:rPr>
  </w:style>
  <w:style w:type="character" w:styleId="PageNumber">
    <w:name w:val="page number"/>
    <w:uiPriority w:val="99"/>
    <w:semiHidden/>
    <w:unhideWhenUsed/>
    <w:rsid w:val="009D7E91"/>
    <w:rPr>
      <w:lang w:val="fr-FR"/>
    </w:rPr>
  </w:style>
  <w:style w:type="character" w:styleId="PlaceholderText">
    <w:name w:val="Placeholder Text"/>
    <w:uiPriority w:val="99"/>
    <w:semiHidden/>
    <w:rsid w:val="009D7E91"/>
    <w:rPr>
      <w:color w:val="808080"/>
      <w:lang w:val="fr-FR"/>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fr-FR"/>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fr-FR"/>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fr-FR"/>
    </w:rPr>
  </w:style>
  <w:style w:type="character" w:styleId="Strong">
    <w:name w:val="Strong"/>
    <w:uiPriority w:val="99"/>
    <w:semiHidden/>
    <w:qFormat/>
    <w:rsid w:val="009D7E91"/>
    <w:rPr>
      <w:b/>
      <w:bCs/>
      <w:lang w:val="fr-FR"/>
    </w:rPr>
  </w:style>
  <w:style w:type="character" w:styleId="SubtleEmphasis">
    <w:name w:val="Subtle Emphasis"/>
    <w:uiPriority w:val="99"/>
    <w:semiHidden/>
    <w:qFormat/>
    <w:rsid w:val="009D7E91"/>
    <w:rPr>
      <w:i/>
      <w:iCs/>
      <w:color w:val="808080"/>
      <w:lang w:val="fr-FR"/>
    </w:rPr>
  </w:style>
  <w:style w:type="character" w:styleId="SubtleReferenc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zaboinamed2014@gmail.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23060ffc-31f7-4057-97e2-50494e446711</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59B67BD5-64A7-4846-83AF-8181ADB65ED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Tipiani, Laura</cp:lastModifiedBy>
  <cp:revision>5</cp:revision>
  <dcterms:created xsi:type="dcterms:W3CDTF">2026-06-26T08:58:00Z</dcterms:created>
  <dcterms:modified xsi:type="dcterms:W3CDTF">2026-06-29T15:30:00Z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23060ffc-31f7-4057-97e2-50494e446711</vt:lpwstr>
  </property>
  <property fmtid="{D5CDD505-2E9C-101B-9397-08002B2CF9AE}" pid="4" name="WTOCLASSIFICATION">
    <vt:lpwstr>PUBLIC</vt:lpwstr>
  </property>
</Properties>
</file>