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D5D45D6" w14:textId="77777777">
      <w:pPr>
        <w:pStyle w:val="Title"/>
        <w:rPr>
          <w:caps w:val="0"/>
          <w:kern w:val="0"/>
        </w:rPr>
      </w:pPr>
      <w:r w:rsidRPr="002F6A28">
        <w:rPr>
          <w:caps w:val="0"/>
          <w:kern w:val="0"/>
        </w:rPr>
        <w:t>NOTIFICATION</w:t>
      </w:r>
    </w:p>
    <w:p w:rsidR="009239F7" w:rsidRPr="002F6A28" w:rsidP="002F6A28" w14:paraId="1E4CD565" w14:textId="77777777">
      <w:pPr>
        <w:jc w:val="center"/>
      </w:pPr>
      <w:r w:rsidRPr="002F6A28">
        <w:t>The following notification is being circulated in accordance with Article 10.6</w:t>
      </w:r>
    </w:p>
    <w:p w:rsidR="009239F7" w:rsidRPr="002F6A28" w:rsidP="002F6A28" w14:paraId="04A3557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D7A86E2" w14:textId="77777777" w:rsidTr="00DB13FE">
        <w:tblPrEx>
          <w:tblW w:w="5000" w:type="pct"/>
          <w:tblLayout w:type="fixed"/>
          <w:tblLook w:val="0000"/>
        </w:tblPrEx>
        <w:tc>
          <w:tcPr>
            <w:tcW w:w="607" w:type="dxa"/>
            <w:tcBorders>
              <w:top w:val="double" w:sz="4" w:space="0" w:color="auto"/>
            </w:tcBorders>
          </w:tcPr>
          <w:p w:rsidR="00F85C99" w:rsidRPr="002F6A28" w:rsidP="002F6A28" w14:paraId="09118A0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0E9B878"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2156795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587F468" w14:textId="77777777" w:rsidTr="00DB13FE">
        <w:tblPrEx>
          <w:tblW w:w="5000" w:type="pct"/>
          <w:tblLayout w:type="fixed"/>
          <w:tblLook w:val="0000"/>
        </w:tblPrEx>
        <w:tc>
          <w:tcPr>
            <w:tcW w:w="607" w:type="dxa"/>
          </w:tcPr>
          <w:p w:rsidR="00F85C99" w:rsidRPr="002F6A28" w:rsidP="002F6A28" w14:paraId="30953D85" w14:textId="77777777">
            <w:pPr>
              <w:spacing w:before="120" w:after="120"/>
              <w:jc w:val="left"/>
            </w:pPr>
            <w:r w:rsidRPr="002F6A28">
              <w:rPr>
                <w:b/>
              </w:rPr>
              <w:t>2.</w:t>
            </w:r>
          </w:p>
        </w:tc>
        <w:tc>
          <w:tcPr>
            <w:tcW w:w="8373" w:type="dxa"/>
          </w:tcPr>
          <w:p w:rsidR="00F85C99" w:rsidRPr="002F6A28" w:rsidP="000C3B6C" w14:paraId="6865D5FE" w14:textId="77777777">
            <w:pPr>
              <w:spacing w:before="120" w:after="120"/>
            </w:pPr>
            <w:r w:rsidRPr="002F6A28">
              <w:rPr>
                <w:b/>
              </w:rPr>
              <w:t>Agency responsible:</w:t>
            </w:r>
            <w:r w:rsidRPr="00C379C8" w:rsidR="00EE3A11">
              <w:t xml:space="preserve"> </w:t>
            </w:r>
          </w:p>
          <w:p w:rsidR="00EE3A11" w:rsidRPr="00C379C8" w:rsidP="000C3B6C" w14:paraId="25CF5C16" w14:textId="77777777">
            <w:r w:rsidRPr="00C379C8">
              <w:t>Uganda National Bureau of Standards</w:t>
            </w:r>
          </w:p>
          <w:p w:rsidR="00EE3A11" w:rsidRPr="00C379C8" w:rsidP="000C3B6C" w14:paraId="1F0C7BE1" w14:textId="77777777">
            <w:r w:rsidRPr="00C379C8">
              <w:t>Plot 2-12 ByPass Link, Bweyogerere Industrial and Business Park</w:t>
            </w:r>
          </w:p>
          <w:p w:rsidR="00EE3A11" w:rsidRPr="00C379C8" w:rsidP="000C3B6C" w14:paraId="3CF92FF2" w14:textId="77777777">
            <w:r w:rsidRPr="00C379C8">
              <w:t>P.O. Box 6329</w:t>
            </w:r>
          </w:p>
          <w:p w:rsidR="00EE3A11" w:rsidRPr="00C379C8" w:rsidP="000C3B6C" w14:paraId="3EB11C26" w14:textId="77777777">
            <w:r w:rsidRPr="00C379C8">
              <w:t>Kampala, Uganda</w:t>
            </w:r>
          </w:p>
          <w:p w:rsidR="00EE3A11" w:rsidRPr="00C379C8" w:rsidP="000C3B6C" w14:paraId="2B91B15A" w14:textId="77777777">
            <w:r w:rsidRPr="00C379C8">
              <w:t>Tel: +(256) 4 1733 3250/1/2</w:t>
            </w:r>
          </w:p>
          <w:p w:rsidR="00EE3A11" w:rsidRPr="00C379C8" w:rsidP="000C3B6C" w14:paraId="0F4D917B" w14:textId="77777777">
            <w:r w:rsidRPr="00C379C8">
              <w:t>Fax: +(256) 4 1428 6123</w:t>
            </w:r>
          </w:p>
          <w:p w:rsidR="00EE3A11" w:rsidRPr="00C379C8" w:rsidP="000C3B6C" w14:paraId="2DD2CF9C" w14:textId="77777777">
            <w:r w:rsidRPr="00C379C8">
              <w:t xml:space="preserve">E-mail: </w:t>
            </w:r>
            <w:hyperlink r:id="rId6" w:history="1">
              <w:r w:rsidRPr="00C379C8">
                <w:rPr>
                  <w:color w:val="0000FF"/>
                  <w:u w:val="single"/>
                </w:rPr>
                <w:t>info@unbs.go.ug</w:t>
              </w:r>
            </w:hyperlink>
          </w:p>
          <w:p w:rsidR="00EE3A11" w:rsidRPr="00C379C8" w:rsidP="000C3B6C" w14:paraId="0B7368CB" w14:textId="77777777">
            <w:pPr>
              <w:spacing w:after="120"/>
            </w:pPr>
            <w:r w:rsidRPr="00C379C8">
              <w:t xml:space="preserve">Website: </w:t>
            </w:r>
            <w:hyperlink r:id="rId7" w:tgtFrame="_blank" w:history="1">
              <w:r w:rsidRPr="00C379C8">
                <w:rPr>
                  <w:color w:val="0000FF"/>
                  <w:u w:val="single"/>
                </w:rPr>
                <w:t>https://www.unbs.go.ug</w:t>
              </w:r>
            </w:hyperlink>
          </w:p>
        </w:tc>
      </w:tr>
      <w:tr w14:paraId="02EB6B68" w14:textId="77777777" w:rsidTr="00DB13FE">
        <w:tblPrEx>
          <w:tblW w:w="5000" w:type="pct"/>
          <w:tblLayout w:type="fixed"/>
          <w:tblLook w:val="0000"/>
        </w:tblPrEx>
        <w:tc>
          <w:tcPr>
            <w:tcW w:w="607" w:type="dxa"/>
          </w:tcPr>
          <w:p w:rsidR="00F85C99" w:rsidRPr="002F6A28" w:rsidP="002F6A28" w14:paraId="2BB8309E" w14:textId="77777777">
            <w:pPr>
              <w:spacing w:before="120" w:after="120"/>
              <w:jc w:val="left"/>
              <w:rPr>
                <w:b/>
              </w:rPr>
            </w:pPr>
            <w:r w:rsidRPr="002F6A28">
              <w:rPr>
                <w:b/>
              </w:rPr>
              <w:t>3.</w:t>
            </w:r>
          </w:p>
        </w:tc>
        <w:tc>
          <w:tcPr>
            <w:tcW w:w="8373" w:type="dxa"/>
          </w:tcPr>
          <w:p w:rsidR="00F85C99" w:rsidRPr="0058336F" w:rsidP="002F6A28" w14:paraId="542DFA6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CD81F00" w14:textId="77777777" w:rsidTr="00DB13FE">
        <w:tblPrEx>
          <w:tblW w:w="5000" w:type="pct"/>
          <w:tblLayout w:type="fixed"/>
          <w:tblLook w:val="0000"/>
        </w:tblPrEx>
        <w:tc>
          <w:tcPr>
            <w:tcW w:w="607" w:type="dxa"/>
          </w:tcPr>
          <w:p w:rsidR="00F85C99" w:rsidRPr="002F6A28" w:rsidP="002F6A28" w14:paraId="1C84142E" w14:textId="77777777">
            <w:pPr>
              <w:spacing w:before="120" w:after="120"/>
              <w:jc w:val="left"/>
            </w:pPr>
            <w:r w:rsidRPr="002F6A28">
              <w:rPr>
                <w:b/>
              </w:rPr>
              <w:t>4.</w:t>
            </w:r>
          </w:p>
        </w:tc>
        <w:tc>
          <w:tcPr>
            <w:tcW w:w="8373" w:type="dxa"/>
          </w:tcPr>
          <w:p w:rsidR="00F85C99" w:rsidRPr="002F6A28" w:rsidP="002F6A28" w14:paraId="1206E050"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Women's or girls' skirts and divided skirts of cotton (excl. knitted or crocheted and petticoats) (HS code(s): 620452); Clothes (ICS code(s): 61.020); Skirts</w:t>
            </w:r>
          </w:p>
        </w:tc>
      </w:tr>
      <w:tr w14:paraId="46F9E17D" w14:textId="77777777" w:rsidTr="00DB13FE">
        <w:tblPrEx>
          <w:tblW w:w="5000" w:type="pct"/>
          <w:tblLayout w:type="fixed"/>
          <w:tblLook w:val="0000"/>
        </w:tblPrEx>
        <w:tc>
          <w:tcPr>
            <w:tcW w:w="607" w:type="dxa"/>
          </w:tcPr>
          <w:p w:rsidR="00F85C99" w:rsidRPr="002F6A28" w:rsidP="002F6A28" w14:paraId="7A2A16D7" w14:textId="77777777">
            <w:pPr>
              <w:spacing w:before="120" w:after="120"/>
              <w:jc w:val="left"/>
            </w:pPr>
            <w:r w:rsidRPr="002F6A28">
              <w:rPr>
                <w:b/>
              </w:rPr>
              <w:t>5.</w:t>
            </w:r>
          </w:p>
        </w:tc>
        <w:tc>
          <w:tcPr>
            <w:tcW w:w="8373" w:type="dxa"/>
          </w:tcPr>
          <w:p w:rsidR="00F85C99" w:rsidP="002F6A28" w14:paraId="3BBB402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1568-7:2025, School clothing — Part 7: Skirts, Second Edition; (6 page(s), in English)</w:t>
            </w:r>
          </w:p>
          <w:p w:rsidR="000C3B6C" w:rsidRPr="000C3B6C" w:rsidP="002F6A28" w14:paraId="1997D59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65E1F" w:rsidRPr="00CE6C29" w:rsidP="002F6A28" w14:paraId="70E97351"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https://members.wto.org/crnattachments/2025/TBT/UGA/25_07082_00_e.pdf</w:t>
              </w:r>
            </w:hyperlink>
          </w:p>
        </w:tc>
      </w:tr>
      <w:tr w14:paraId="42F7C9E6" w14:textId="77777777" w:rsidTr="00DB13FE">
        <w:tblPrEx>
          <w:tblW w:w="5000" w:type="pct"/>
          <w:tblLayout w:type="fixed"/>
          <w:tblLook w:val="0000"/>
        </w:tblPrEx>
        <w:tc>
          <w:tcPr>
            <w:tcW w:w="607" w:type="dxa"/>
          </w:tcPr>
          <w:p w:rsidR="00F85C99" w:rsidRPr="002F6A28" w:rsidP="002F6A28" w14:paraId="7B4C4402" w14:textId="77777777">
            <w:pPr>
              <w:spacing w:before="120" w:after="120"/>
              <w:jc w:val="left"/>
              <w:rPr>
                <w:b/>
              </w:rPr>
            </w:pPr>
            <w:r w:rsidRPr="002F6A28">
              <w:rPr>
                <w:b/>
              </w:rPr>
              <w:t>6.</w:t>
            </w:r>
          </w:p>
        </w:tc>
        <w:tc>
          <w:tcPr>
            <w:tcW w:w="8373" w:type="dxa"/>
          </w:tcPr>
          <w:p w:rsidR="00F85C99" w:rsidRPr="002F6A28" w:rsidP="002F6A28" w14:paraId="37DA0B7F" w14:textId="77777777">
            <w:pPr>
              <w:spacing w:before="120" w:after="120"/>
              <w:rPr>
                <w:b/>
              </w:rPr>
            </w:pPr>
            <w:r w:rsidRPr="002F6A28">
              <w:rPr>
                <w:b/>
              </w:rPr>
              <w:t>Description of content:</w:t>
            </w:r>
            <w:r w:rsidRPr="00C379C8" w:rsidR="00FE448B">
              <w:t xml:space="preserve"> This part of Draft African Standard specifies the requirements for the materials, sizes, make, packaging, sampling, care labelling and marking for skirts. This draft standard shall be used in conjunction with DARS 1568-1</w:t>
            </w:r>
          </w:p>
        </w:tc>
      </w:tr>
      <w:tr w14:paraId="7B057207" w14:textId="77777777" w:rsidTr="00DB13FE">
        <w:tblPrEx>
          <w:tblW w:w="5000" w:type="pct"/>
          <w:tblLayout w:type="fixed"/>
          <w:tblLook w:val="0000"/>
        </w:tblPrEx>
        <w:tc>
          <w:tcPr>
            <w:tcW w:w="607" w:type="dxa"/>
          </w:tcPr>
          <w:p w:rsidR="00F85C99" w:rsidRPr="002F6A28" w:rsidP="002F6A28" w14:paraId="37095053" w14:textId="77777777">
            <w:pPr>
              <w:spacing w:before="120" w:after="120"/>
              <w:jc w:val="left"/>
              <w:rPr>
                <w:b/>
              </w:rPr>
            </w:pPr>
            <w:r w:rsidRPr="002F6A28">
              <w:rPr>
                <w:b/>
              </w:rPr>
              <w:t>7.</w:t>
            </w:r>
          </w:p>
        </w:tc>
        <w:tc>
          <w:tcPr>
            <w:tcW w:w="8373" w:type="dxa"/>
          </w:tcPr>
          <w:p w:rsidR="00F85C99" w:rsidRPr="002F6A28" w:rsidP="002F6A28" w14:paraId="7B5B5CD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w:t>
            </w:r>
          </w:p>
        </w:tc>
      </w:tr>
      <w:tr w14:paraId="07EB0C65" w14:textId="77777777" w:rsidTr="00DB13FE">
        <w:tblPrEx>
          <w:tblW w:w="5000" w:type="pct"/>
          <w:tblLayout w:type="fixed"/>
          <w:tblLook w:val="0000"/>
        </w:tblPrEx>
        <w:tc>
          <w:tcPr>
            <w:tcW w:w="607" w:type="dxa"/>
          </w:tcPr>
          <w:p w:rsidR="00F85C99" w:rsidRPr="002F6A28" w:rsidP="009E75ED" w14:paraId="1AF47327" w14:textId="77777777">
            <w:pPr>
              <w:spacing w:before="120" w:after="120"/>
              <w:jc w:val="left"/>
              <w:rPr>
                <w:b/>
              </w:rPr>
            </w:pPr>
            <w:r w:rsidRPr="002F6A28">
              <w:rPr>
                <w:b/>
              </w:rPr>
              <w:t>8.</w:t>
            </w:r>
          </w:p>
        </w:tc>
        <w:tc>
          <w:tcPr>
            <w:tcW w:w="8373" w:type="dxa"/>
          </w:tcPr>
          <w:p w:rsidR="000C3B6C" w:rsidRPr="00EC00D2" w:rsidP="007F13E8" w14:paraId="2EF25558" w14:textId="77777777">
            <w:pPr>
              <w:spacing w:before="120" w:after="120"/>
              <w:rPr>
                <w:bCs/>
              </w:rPr>
            </w:pPr>
            <w:r w:rsidRPr="002F6A28">
              <w:rPr>
                <w:b/>
              </w:rPr>
              <w:t>Relevant documents:</w:t>
            </w:r>
            <w:r w:rsidRPr="002F6A28" w:rsidR="00EE3A11">
              <w:t xml:space="preserve"> </w:t>
            </w:r>
          </w:p>
          <w:p w:rsidR="00EE3A11" w:rsidRPr="002F6A28" w:rsidP="007F13E8" w14:paraId="21C0D0F6" w14:textId="77777777">
            <w:pPr>
              <w:numPr>
                <w:ilvl w:val="0"/>
                <w:numId w:val="16"/>
              </w:numPr>
              <w:spacing w:before="120" w:after="120"/>
            </w:pPr>
            <w:r w:rsidRPr="002F6A28">
              <w:t>ARS 1568-1, School clothing — Part 1: General requirements for school clothing</w:t>
            </w:r>
          </w:p>
          <w:p w:rsidR="00EE3A11" w:rsidRPr="002F6A28" w:rsidP="007F13E8" w14:paraId="7D1D257C" w14:textId="77777777">
            <w:pPr>
              <w:numPr>
                <w:ilvl w:val="0"/>
                <w:numId w:val="16"/>
              </w:numPr>
              <w:spacing w:before="120" w:after="120"/>
            </w:pPr>
            <w:r w:rsidRPr="002F6A28">
              <w:t>ISO 2859-1, Sampling procedures for inspection by attributes — Part 1: Sampling schemes indexed by acceptance quality limit (AQL) for lot-by-lot inspection</w:t>
            </w:r>
          </w:p>
          <w:p w:rsidR="00EE3A11" w:rsidRPr="002F6A28" w:rsidP="007F13E8" w14:paraId="6234081F" w14:textId="77777777">
            <w:pPr>
              <w:numPr>
                <w:ilvl w:val="0"/>
                <w:numId w:val="16"/>
              </w:numPr>
              <w:spacing w:before="120" w:after="120"/>
            </w:pPr>
            <w:r w:rsidRPr="002F6A28">
              <w:t>ISO 4915, Textiles — Stitch types — Classification and terminology</w:t>
            </w:r>
          </w:p>
          <w:p w:rsidR="00EE3A11" w:rsidRPr="002F6A28" w:rsidP="007F13E8" w14:paraId="012873B1" w14:textId="77777777">
            <w:pPr>
              <w:numPr>
                <w:ilvl w:val="0"/>
                <w:numId w:val="16"/>
              </w:numPr>
              <w:spacing w:before="120" w:after="120"/>
            </w:pPr>
            <w:r w:rsidRPr="002F6A28">
              <w:t>ISO 4916, Textiles — Seam types — Classification and terminology</w:t>
            </w:r>
          </w:p>
        </w:tc>
      </w:tr>
      <w:tr w14:paraId="6B7976A3" w14:textId="77777777" w:rsidTr="00DB13FE">
        <w:tblPrEx>
          <w:tblW w:w="5000" w:type="pct"/>
          <w:tblLayout w:type="fixed"/>
          <w:tblLook w:val="0000"/>
        </w:tblPrEx>
        <w:tc>
          <w:tcPr>
            <w:tcW w:w="607" w:type="dxa"/>
          </w:tcPr>
          <w:p w:rsidR="00EE3A11" w:rsidRPr="002F6A28" w:rsidP="002F6A28" w14:paraId="5F472FEB" w14:textId="77777777">
            <w:pPr>
              <w:spacing w:before="120" w:after="120"/>
              <w:jc w:val="left"/>
              <w:rPr>
                <w:b/>
              </w:rPr>
            </w:pPr>
            <w:r w:rsidRPr="002F6A28">
              <w:rPr>
                <w:b/>
              </w:rPr>
              <w:t>9.</w:t>
            </w:r>
          </w:p>
        </w:tc>
        <w:tc>
          <w:tcPr>
            <w:tcW w:w="8373" w:type="dxa"/>
          </w:tcPr>
          <w:p w:rsidR="00EE3A11" w:rsidRPr="002F6A28" w:rsidP="008953C4" w14:paraId="49063CAD" w14:textId="77777777">
            <w:pPr>
              <w:spacing w:before="120" w:after="120"/>
            </w:pPr>
            <w:r w:rsidRPr="002F6A28">
              <w:rPr>
                <w:b/>
              </w:rPr>
              <w:t>Proposed date of adoption:</w:t>
            </w:r>
            <w:r w:rsidRPr="00C379C8">
              <w:t xml:space="preserve"> To be determined</w:t>
            </w:r>
          </w:p>
          <w:p w:rsidR="00EE3A11" w:rsidRPr="002F6A28" w:rsidP="008953C4" w14:paraId="0F528308" w14:textId="77777777">
            <w:pPr>
              <w:spacing w:after="120"/>
            </w:pPr>
            <w:r w:rsidRPr="002F6A28">
              <w:rPr>
                <w:b/>
              </w:rPr>
              <w:t>Proposed date of entry into force:</w:t>
            </w:r>
            <w:r w:rsidRPr="00C379C8">
              <w:t xml:space="preserve"> To be determined</w:t>
            </w:r>
          </w:p>
        </w:tc>
      </w:tr>
      <w:tr w14:paraId="06233EC4" w14:textId="77777777" w:rsidTr="00DB13FE">
        <w:tblPrEx>
          <w:tblW w:w="5000" w:type="pct"/>
          <w:tblLayout w:type="fixed"/>
          <w:tblLook w:val="0000"/>
        </w:tblPrEx>
        <w:tc>
          <w:tcPr>
            <w:tcW w:w="607" w:type="dxa"/>
            <w:tcBorders>
              <w:bottom w:val="double" w:sz="4" w:space="0" w:color="auto"/>
            </w:tcBorders>
          </w:tcPr>
          <w:p w:rsidR="00F85C99" w:rsidRPr="002F6A28" w:rsidP="002F6A28" w14:paraId="2DC935E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B261EA9"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0730C44" w14:textId="77777777">
            <w:pPr>
              <w:spacing w:before="120" w:after="120"/>
              <w:rPr>
                <w:bCs/>
              </w:rPr>
            </w:pPr>
            <w:r w:rsidRPr="002F6A28">
              <w:rPr>
                <w:b/>
              </w:rPr>
              <w:t>Final date for comments:</w:t>
            </w:r>
            <w:r w:rsidRPr="00C379C8" w:rsidR="00EE3A11">
              <w:t xml:space="preserve"> 22 December 2025</w:t>
            </w:r>
          </w:p>
          <w:p w:rsidR="000C3B6C" w:rsidRPr="00E3324D" w:rsidP="000C3B6C" w14:paraId="78AA627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917B2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72E58EA" w14:textId="77777777">
            <w:r w:rsidRPr="00CE6C29">
              <w:t>Uganda National Bureau of Standards</w:t>
            </w:r>
          </w:p>
          <w:p w:rsidR="00CE6C29" w:rsidRPr="00CE6C29" w:rsidP="000C3B6C" w14:paraId="2815E95E" w14:textId="77777777">
            <w:r w:rsidRPr="00CE6C29">
              <w:t>Plot 2-12 ByPass Link, Bweyogerere Industrial and Business Park</w:t>
            </w:r>
          </w:p>
          <w:p w:rsidR="00CE6C29" w:rsidRPr="00CE6C29" w:rsidP="000C3B6C" w14:paraId="6BA68540" w14:textId="77777777">
            <w:r w:rsidRPr="00CE6C29">
              <w:t>P.O. Box 6329</w:t>
            </w:r>
          </w:p>
          <w:p w:rsidR="00CE6C29" w:rsidRPr="00CE6C29" w:rsidP="000C3B6C" w14:paraId="6E52DABD" w14:textId="77777777">
            <w:r w:rsidRPr="00CE6C29">
              <w:t>Kampala, Uganda</w:t>
            </w:r>
          </w:p>
          <w:p w:rsidR="00CE6C29" w:rsidRPr="00CE6C29" w:rsidP="000C3B6C" w14:paraId="7B9E737A" w14:textId="77777777">
            <w:r w:rsidRPr="00CE6C29">
              <w:t>Tel: +(256) 4 1733 3250/1/2</w:t>
            </w:r>
          </w:p>
          <w:p w:rsidR="00CE6C29" w:rsidRPr="00CE6C29" w:rsidP="000C3B6C" w14:paraId="08C1020A" w14:textId="77777777">
            <w:r w:rsidRPr="00CE6C29">
              <w:t>Fax: +(256) 4 1428 6123</w:t>
            </w:r>
          </w:p>
          <w:p w:rsidR="00CE6C29" w:rsidRPr="00CE6C29" w:rsidP="000C3B6C" w14:paraId="6F77F0B4" w14:textId="77777777">
            <w:r w:rsidRPr="00CE6C29">
              <w:t xml:space="preserve">E-mail: </w:t>
            </w:r>
            <w:hyperlink r:id="rId6" w:history="1">
              <w:r w:rsidRPr="00CE6C29">
                <w:rPr>
                  <w:color w:val="0000FF"/>
                  <w:u w:val="single"/>
                </w:rPr>
                <w:t>info@unbs.go.ug</w:t>
              </w:r>
            </w:hyperlink>
          </w:p>
          <w:p w:rsidR="00CE6C29" w:rsidRPr="00CE6C29" w:rsidP="000C3B6C" w14:paraId="675A16A2"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112B86A0"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002BC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9D525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6D1C11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A1512A0" w14:textId="77777777">
    <w:pPr>
      <w:pStyle w:val="Header"/>
      <w:pBdr>
        <w:bottom w:val="single" w:sz="4" w:space="1" w:color="auto"/>
      </w:pBdr>
      <w:tabs>
        <w:tab w:val="clear" w:pos="4513"/>
        <w:tab w:val="clear" w:pos="9027"/>
      </w:tabs>
      <w:jc w:val="center"/>
    </w:pPr>
    <w:r w:rsidRPr="002F6A28">
      <w:t>tbtSymbol</w:t>
    </w:r>
  </w:p>
  <w:p w:rsidR="009239F7" w:rsidRPr="002F6A28" w:rsidP="009239F7" w14:paraId="557857E5" w14:textId="77777777">
    <w:pPr>
      <w:pStyle w:val="Header"/>
      <w:pBdr>
        <w:bottom w:val="single" w:sz="4" w:space="1" w:color="auto"/>
      </w:pBdr>
      <w:tabs>
        <w:tab w:val="clear" w:pos="4513"/>
        <w:tab w:val="clear" w:pos="9027"/>
      </w:tabs>
      <w:jc w:val="center"/>
    </w:pPr>
  </w:p>
  <w:p w:rsidR="009239F7" w:rsidRPr="002F6A28" w:rsidP="009239F7" w14:paraId="04D0C8E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8B72DA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EE34177" w14:textId="77777777">
    <w:pPr>
      <w:pStyle w:val="Header"/>
      <w:pBdr>
        <w:bottom w:val="single" w:sz="4" w:space="1" w:color="auto"/>
      </w:pBdr>
      <w:tabs>
        <w:tab w:val="clear" w:pos="4513"/>
        <w:tab w:val="clear" w:pos="9027"/>
      </w:tabs>
      <w:jc w:val="center"/>
    </w:pPr>
    <w:bookmarkStart w:id="0" w:name="spsSymbolHeader"/>
    <w:r w:rsidRPr="002F6A28">
      <w:t>G/TBT/N/UGA/2241</w:t>
    </w:r>
    <w:bookmarkEnd w:id="0"/>
  </w:p>
  <w:p w:rsidR="009239F7" w:rsidRPr="002F6A28" w:rsidP="009239F7" w14:paraId="0F532B41" w14:textId="77777777">
    <w:pPr>
      <w:pStyle w:val="Header"/>
      <w:pBdr>
        <w:bottom w:val="single" w:sz="4" w:space="1" w:color="auto"/>
      </w:pBdr>
      <w:tabs>
        <w:tab w:val="clear" w:pos="4513"/>
        <w:tab w:val="clear" w:pos="9027"/>
      </w:tabs>
      <w:jc w:val="center"/>
    </w:pPr>
  </w:p>
  <w:p w:rsidR="009239F7" w:rsidRPr="002F6A28" w:rsidP="009239F7" w14:paraId="04AF18D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C5964E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DD84B8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AEDA04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92B513D" w14:textId="77777777">
          <w:pPr>
            <w:jc w:val="right"/>
            <w:rPr>
              <w:b/>
              <w:color w:val="FF0000"/>
              <w:szCs w:val="16"/>
            </w:rPr>
          </w:pPr>
        </w:p>
      </w:tc>
    </w:tr>
    <w:bookmarkEnd w:id="1"/>
    <w:tr w14:paraId="16CBBD7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DD666F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539D5CD" w14:textId="77777777">
          <w:pPr>
            <w:jc w:val="right"/>
            <w:rPr>
              <w:b/>
              <w:szCs w:val="16"/>
            </w:rPr>
          </w:pPr>
        </w:p>
      </w:tc>
    </w:tr>
    <w:tr w14:paraId="25DA3A6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12F52B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F853F4D" w14:textId="77777777">
          <w:pPr>
            <w:jc w:val="right"/>
            <w:rPr>
              <w:b/>
              <w:szCs w:val="16"/>
            </w:rPr>
          </w:pPr>
          <w:bookmarkStart w:id="2" w:name="bmkSymbols"/>
          <w:r w:rsidRPr="002F6A28">
            <w:rPr>
              <w:b/>
              <w:szCs w:val="16"/>
            </w:rPr>
            <w:t>G/TBT/N/UGA/2241</w:t>
          </w:r>
          <w:bookmarkEnd w:id="2"/>
        </w:p>
      </w:tc>
    </w:tr>
    <w:tr w14:paraId="14B71C0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FFE40B4" w14:textId="77777777"/>
      </w:tc>
      <w:tc>
        <w:tcPr>
          <w:tcW w:w="5448" w:type="dxa"/>
          <w:gridSpan w:val="2"/>
          <w:shd w:val="clear" w:color="auto" w:fill="FFFFFF"/>
          <w:tcMar>
            <w:left w:w="108" w:type="dxa"/>
            <w:right w:w="108" w:type="dxa"/>
          </w:tcMar>
          <w:vAlign w:val="center"/>
        </w:tcPr>
        <w:p w:rsidR="00ED54E0" w:rsidRPr="009239F7" w:rsidP="00B801E9" w14:paraId="18050C57" w14:textId="77777777">
          <w:pPr>
            <w:jc w:val="right"/>
            <w:rPr>
              <w:szCs w:val="16"/>
            </w:rPr>
          </w:pPr>
          <w:bookmarkStart w:id="3" w:name="spsDateDistribution"/>
          <w:bookmarkStart w:id="4" w:name="bmkDate"/>
          <w:r w:rsidRPr="009239F7">
            <w:rPr>
              <w:szCs w:val="16"/>
            </w:rPr>
            <w:t>23 October 2025</w:t>
          </w:r>
          <w:bookmarkEnd w:id="3"/>
          <w:bookmarkEnd w:id="4"/>
        </w:p>
      </w:tc>
    </w:tr>
    <w:tr w14:paraId="724858E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FBA2742" w14:textId="77777777">
          <w:pPr>
            <w:jc w:val="left"/>
            <w:rPr>
              <w:b/>
            </w:rPr>
          </w:pPr>
          <w:bookmarkStart w:id="5" w:name="bmkSerial"/>
          <w:r>
            <w:rPr>
              <w:rFonts w:ascii="Verdana" w:eastAsia="Verdana" w:hAnsi="Verdana" w:cs="Verdana"/>
              <w:b w:val="0"/>
              <w:color w:val="FF0000"/>
              <w:sz w:val="18"/>
            </w:rPr>
            <w:t>(25-6876)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380E11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A2D910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C880B3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A23CAF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122E2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53486107">
    <w:abstractNumId w:val="9"/>
  </w:num>
  <w:num w:numId="2" w16cid:durableId="1641808812">
    <w:abstractNumId w:val="7"/>
  </w:num>
  <w:num w:numId="3" w16cid:durableId="781077486">
    <w:abstractNumId w:val="6"/>
  </w:num>
  <w:num w:numId="4" w16cid:durableId="1311908380">
    <w:abstractNumId w:val="5"/>
  </w:num>
  <w:num w:numId="5" w16cid:durableId="2032369444">
    <w:abstractNumId w:val="4"/>
  </w:num>
  <w:num w:numId="6" w16cid:durableId="867790580">
    <w:abstractNumId w:val="12"/>
  </w:num>
  <w:num w:numId="7" w16cid:durableId="1497455945">
    <w:abstractNumId w:val="11"/>
  </w:num>
  <w:num w:numId="8" w16cid:durableId="1308245298">
    <w:abstractNumId w:val="10"/>
  </w:num>
  <w:num w:numId="9" w16cid:durableId="412581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4820554">
    <w:abstractNumId w:val="13"/>
  </w:num>
  <w:num w:numId="11" w16cid:durableId="2038387536">
    <w:abstractNumId w:val="8"/>
  </w:num>
  <w:num w:numId="12" w16cid:durableId="1205094728">
    <w:abstractNumId w:val="3"/>
  </w:num>
  <w:num w:numId="13" w16cid:durableId="527836207">
    <w:abstractNumId w:val="2"/>
  </w:num>
  <w:num w:numId="14" w16cid:durableId="1915317676">
    <w:abstractNumId w:val="1"/>
  </w:num>
  <w:num w:numId="15" w16cid:durableId="1139761755">
    <w:abstractNumId w:val="0"/>
  </w:num>
  <w:num w:numId="16" w16cid:durableId="107743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65E1F"/>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B791F"/>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092C"/>
    <w:rsid w:val="00D32587"/>
    <w:rsid w:val="00D428FA"/>
    <w:rsid w:val="00D52A9D"/>
    <w:rsid w:val="00D55AAD"/>
    <w:rsid w:val="00D6002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71455"/>
    <w:rsid w:val="00F75D71"/>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A897A0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708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132443E-2E40-4BA5-B8A0-4DAEA29FBC0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2025-10-23T13:20:00Z</dcterms:created>
  <dcterms:modified xsi:type="dcterms:W3CDTF">2025-10-23T13:28:00Z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