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0082C4C" w14:textId="77777777">
      <w:pPr>
        <w:pStyle w:val="Title"/>
        <w:rPr>
          <w:caps w:val="0"/>
          <w:kern w:val="0"/>
        </w:rPr>
      </w:pPr>
      <w:r w:rsidRPr="002F6A28">
        <w:rPr>
          <w:caps w:val="0"/>
          <w:kern w:val="0"/>
        </w:rPr>
        <w:t>NOTIFICATION</w:t>
      </w:r>
    </w:p>
    <w:p w:rsidR="009239F7" w:rsidRPr="002F6A28" w:rsidP="002F6A28" w14:paraId="049852A1" w14:textId="77777777">
      <w:pPr>
        <w:jc w:val="center"/>
      </w:pPr>
      <w:r w:rsidRPr="002F6A28">
        <w:t>The following notification is being circulated in accordance with Article 10.6</w:t>
      </w:r>
    </w:p>
    <w:p w:rsidR="009239F7" w:rsidRPr="002F6A28" w:rsidP="002F6A28" w14:paraId="62A6971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47C4067" w14:textId="77777777" w:rsidTr="00DB13FE">
        <w:tblPrEx>
          <w:tblW w:w="5000" w:type="pct"/>
          <w:tblLayout w:type="fixed"/>
          <w:tblLook w:val="0000"/>
        </w:tblPrEx>
        <w:tc>
          <w:tcPr>
            <w:tcW w:w="607" w:type="dxa"/>
            <w:tcBorders>
              <w:top w:val="double" w:sz="4" w:space="0" w:color="auto"/>
            </w:tcBorders>
            <w:shd w:val="clear" w:color="auto" w:fill="auto"/>
          </w:tcPr>
          <w:p w:rsidR="00F85C99" w:rsidRPr="002F6A28" w:rsidP="002F6A28" w14:paraId="2BFE6A4D" w14:textId="77777777">
            <w:pPr>
              <w:spacing w:before="120" w:after="120"/>
              <w:jc w:val="left"/>
            </w:pPr>
            <w:r w:rsidRPr="002F6A28">
              <w:rPr>
                <w:b/>
              </w:rPr>
              <w:t>1.</w:t>
            </w:r>
          </w:p>
        </w:tc>
        <w:tc>
          <w:tcPr>
            <w:tcW w:w="8373" w:type="dxa"/>
            <w:tcBorders>
              <w:top w:val="double" w:sz="4" w:space="0" w:color="auto"/>
            </w:tcBorders>
            <w:shd w:val="clear" w:color="auto" w:fill="auto"/>
          </w:tcPr>
          <w:p w:rsidR="00F85C99" w:rsidRPr="002F6A28" w:rsidP="00C805B6" w14:paraId="5A40E0DD"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05FF76C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A2B603B" w14:textId="77777777" w:rsidTr="00DB13FE">
        <w:tblPrEx>
          <w:tblW w:w="5000" w:type="pct"/>
          <w:tblLayout w:type="fixed"/>
          <w:tblLook w:val="0000"/>
        </w:tblPrEx>
        <w:tc>
          <w:tcPr>
            <w:tcW w:w="607" w:type="dxa"/>
            <w:shd w:val="clear" w:color="auto" w:fill="auto"/>
          </w:tcPr>
          <w:p w:rsidR="00F85C99" w:rsidRPr="002F6A28" w:rsidP="002F6A28" w14:paraId="1DBF8B48" w14:textId="77777777">
            <w:pPr>
              <w:spacing w:before="120" w:after="120"/>
              <w:jc w:val="left"/>
            </w:pPr>
            <w:r w:rsidRPr="002F6A28">
              <w:rPr>
                <w:b/>
              </w:rPr>
              <w:t>2.</w:t>
            </w:r>
          </w:p>
        </w:tc>
        <w:tc>
          <w:tcPr>
            <w:tcW w:w="8373" w:type="dxa"/>
            <w:shd w:val="clear" w:color="auto" w:fill="auto"/>
          </w:tcPr>
          <w:p w:rsidR="00F85C99" w:rsidRPr="002F6A28" w:rsidP="000C3B6C" w14:paraId="584F1728" w14:textId="77777777">
            <w:pPr>
              <w:spacing w:before="120" w:after="120"/>
            </w:pPr>
            <w:r w:rsidRPr="002F6A28">
              <w:rPr>
                <w:b/>
              </w:rPr>
              <w:t>Agency responsible:</w:t>
            </w:r>
            <w:r w:rsidRPr="00C379C8" w:rsidR="00EE3A11">
              <w:t xml:space="preserve"> </w:t>
            </w:r>
          </w:p>
          <w:p w:rsidR="00EE3A11" w:rsidRPr="00C379C8" w:rsidP="000C3B6C" w14:paraId="6D3836BD" w14:textId="77777777">
            <w:r w:rsidRPr="00C379C8">
              <w:t xml:space="preserve">Uganda National Bureau of </w:t>
            </w:r>
            <w:r w:rsidRPr="00C379C8">
              <w:t>Standards</w:t>
            </w:r>
          </w:p>
          <w:p w:rsidR="00EE3A11" w:rsidRPr="00C379C8" w:rsidP="000C3B6C" w14:paraId="2098EF5E" w14:textId="77777777">
            <w:r w:rsidRPr="00C379C8">
              <w:t>Plot 2-12 ByPass Link, Bweyogerere Industrial and Business Park</w:t>
            </w:r>
          </w:p>
          <w:p w:rsidR="00EE3A11" w:rsidRPr="00C379C8" w:rsidP="000C3B6C" w14:paraId="2623A29F" w14:textId="77777777">
            <w:r w:rsidRPr="00C379C8">
              <w:t>P.O. Box 6329</w:t>
            </w:r>
          </w:p>
          <w:p w:rsidR="00EE3A11" w:rsidRPr="00C379C8" w:rsidP="000C3B6C" w14:paraId="40226D73" w14:textId="77777777">
            <w:r w:rsidRPr="00C379C8">
              <w:t>Kampala, Uganda</w:t>
            </w:r>
          </w:p>
          <w:p w:rsidR="00EE3A11" w:rsidRPr="00C379C8" w:rsidP="000C3B6C" w14:paraId="03CDBDC2" w14:textId="77777777">
            <w:r w:rsidRPr="00C379C8">
              <w:t>Tel: +(256) 4 1733 3250/1/2</w:t>
            </w:r>
          </w:p>
          <w:p w:rsidR="00EE3A11" w:rsidRPr="00C379C8" w:rsidP="000C3B6C" w14:paraId="06F55AF3" w14:textId="77777777">
            <w:r w:rsidRPr="00C379C8">
              <w:t>Fax: +(256) 4 1428 6123</w:t>
            </w:r>
          </w:p>
          <w:p w:rsidR="00EE3A11" w:rsidRPr="00C379C8" w:rsidP="000C3B6C" w14:paraId="0DAEDAD9" w14:textId="77777777">
            <w:r w:rsidRPr="00C379C8">
              <w:t xml:space="preserve">E-mail: </w:t>
            </w:r>
            <w:hyperlink r:id="rId5" w:history="1">
              <w:r w:rsidRPr="00C379C8">
                <w:rPr>
                  <w:color w:val="0000FF"/>
                  <w:u w:val="single"/>
                </w:rPr>
                <w:t>info@unbs.go.ug</w:t>
              </w:r>
            </w:hyperlink>
          </w:p>
          <w:p w:rsidR="00EE3A11" w:rsidRPr="00C379C8" w:rsidP="000C3B6C" w14:paraId="080E5DA6" w14:textId="77777777">
            <w:pPr>
              <w:spacing w:after="120"/>
            </w:pPr>
            <w:r w:rsidRPr="00C379C8">
              <w:t xml:space="preserve">Website: </w:t>
            </w:r>
            <w:hyperlink r:id="rId6" w:tgtFrame="_blank" w:history="1">
              <w:r w:rsidRPr="00C379C8">
                <w:rPr>
                  <w:color w:val="0000FF"/>
                  <w:u w:val="single"/>
                </w:rPr>
                <w:t>https://www.unbs.go.ug</w:t>
              </w:r>
            </w:hyperlink>
          </w:p>
        </w:tc>
      </w:tr>
      <w:tr w14:paraId="7A10B4D5" w14:textId="77777777" w:rsidTr="00DB13FE">
        <w:tblPrEx>
          <w:tblW w:w="5000" w:type="pct"/>
          <w:tblLayout w:type="fixed"/>
          <w:tblLook w:val="0000"/>
        </w:tblPrEx>
        <w:tc>
          <w:tcPr>
            <w:tcW w:w="607" w:type="dxa"/>
            <w:shd w:val="clear" w:color="auto" w:fill="auto"/>
          </w:tcPr>
          <w:p w:rsidR="00F85C99" w:rsidRPr="002F6A28" w:rsidP="002F6A28" w14:paraId="5D177061" w14:textId="77777777">
            <w:pPr>
              <w:spacing w:before="120" w:after="120"/>
              <w:jc w:val="left"/>
              <w:rPr>
                <w:b/>
              </w:rPr>
            </w:pPr>
            <w:r w:rsidRPr="002F6A28">
              <w:rPr>
                <w:b/>
              </w:rPr>
              <w:t>3.</w:t>
            </w:r>
          </w:p>
        </w:tc>
        <w:tc>
          <w:tcPr>
            <w:tcW w:w="8373" w:type="dxa"/>
            <w:shd w:val="clear" w:color="auto" w:fill="auto"/>
          </w:tcPr>
          <w:p w:rsidR="00F85C99" w:rsidRPr="0058336F" w:rsidP="002F6A28" w14:paraId="673F14E0"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716FED4" w14:textId="77777777" w:rsidTr="00DB13FE">
        <w:tblPrEx>
          <w:tblW w:w="5000" w:type="pct"/>
          <w:tblLayout w:type="fixed"/>
          <w:tblLook w:val="0000"/>
        </w:tblPrEx>
        <w:tc>
          <w:tcPr>
            <w:tcW w:w="607" w:type="dxa"/>
            <w:shd w:val="clear" w:color="auto" w:fill="auto"/>
          </w:tcPr>
          <w:p w:rsidR="00F85C99" w:rsidRPr="002F6A28" w:rsidP="002F6A28" w14:paraId="6DF638F3" w14:textId="77777777">
            <w:pPr>
              <w:spacing w:before="120" w:after="120"/>
              <w:jc w:val="left"/>
            </w:pPr>
            <w:r w:rsidRPr="002F6A28">
              <w:rPr>
                <w:b/>
              </w:rPr>
              <w:t>4.</w:t>
            </w:r>
          </w:p>
        </w:tc>
        <w:tc>
          <w:tcPr>
            <w:tcW w:w="8373" w:type="dxa"/>
            <w:shd w:val="clear" w:color="auto" w:fill="auto"/>
          </w:tcPr>
          <w:p w:rsidR="00F85C99" w:rsidRPr="002F6A28" w:rsidP="002F6A28" w14:paraId="19F3BFEF" w14:textId="77777777">
            <w:pPr>
              <w:spacing w:before="120" w:after="120"/>
            </w:pPr>
            <w:r w:rsidRPr="00E3324D">
              <w:rPr>
                <w:b/>
                <w:bCs/>
              </w:rPr>
              <w:t xml:space="preserve">Products covered (HS codes or </w:t>
            </w:r>
            <w:r w:rsidRPr="00E3324D">
              <w:rPr>
                <w:b/>
                <w:bCs/>
              </w:rPr>
              <w:t>national tariff lines. ICS numbers may be provided in addition, where applicable)</w:t>
            </w:r>
            <w:r w:rsidRPr="002F6A28">
              <w:rPr>
                <w:b/>
              </w:rPr>
              <w:t>:</w:t>
            </w:r>
            <w:r w:rsidRPr="00C379C8" w:rsidR="00EE3A11">
              <w:t xml:space="preserve"> - Portland cement: (HS code(s): 25232); Cement, Gypsum, Lime, Mortar (ICS code(s): 91.100.10); Masonry cement</w:t>
            </w:r>
          </w:p>
        </w:tc>
      </w:tr>
      <w:tr w14:paraId="4030B3EA" w14:textId="77777777" w:rsidTr="00DB13FE">
        <w:tblPrEx>
          <w:tblW w:w="5000" w:type="pct"/>
          <w:tblLayout w:type="fixed"/>
          <w:tblLook w:val="0000"/>
        </w:tblPrEx>
        <w:tc>
          <w:tcPr>
            <w:tcW w:w="607" w:type="dxa"/>
            <w:shd w:val="clear" w:color="auto" w:fill="auto"/>
          </w:tcPr>
          <w:p w:rsidR="00F85C99" w:rsidRPr="002F6A28" w:rsidP="002F6A28" w14:paraId="083ADE0A" w14:textId="77777777">
            <w:pPr>
              <w:spacing w:before="120" w:after="120"/>
              <w:jc w:val="left"/>
            </w:pPr>
            <w:r w:rsidRPr="002F6A28">
              <w:rPr>
                <w:b/>
              </w:rPr>
              <w:t>5.</w:t>
            </w:r>
          </w:p>
        </w:tc>
        <w:tc>
          <w:tcPr>
            <w:tcW w:w="8373" w:type="dxa"/>
            <w:shd w:val="clear" w:color="auto" w:fill="auto"/>
          </w:tcPr>
          <w:p w:rsidR="00F85C99" w:rsidP="002F6A28" w14:paraId="5564E30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366-1:2025, Masonry cement—Specification, Second Edition; (22 page(s), in English)</w:t>
            </w:r>
          </w:p>
          <w:p w:rsidR="000C3B6C" w:rsidRPr="000C3B6C" w:rsidP="002F6A28" w14:paraId="1A6547C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32AD3" w:rsidRPr="00CE6C29" w:rsidP="002F6A28" w14:paraId="3A7F496D"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https://members.wto.org/crnattachments/2025/TBT/UGA/25_04826_00_e.pdf</w:t>
              </w:r>
            </w:hyperlink>
          </w:p>
        </w:tc>
      </w:tr>
      <w:tr w14:paraId="0552105F" w14:textId="77777777" w:rsidTr="00DB13FE">
        <w:tblPrEx>
          <w:tblW w:w="5000" w:type="pct"/>
          <w:tblLayout w:type="fixed"/>
          <w:tblLook w:val="0000"/>
        </w:tblPrEx>
        <w:tc>
          <w:tcPr>
            <w:tcW w:w="607" w:type="dxa"/>
            <w:shd w:val="clear" w:color="auto" w:fill="auto"/>
          </w:tcPr>
          <w:p w:rsidR="00F85C99" w:rsidRPr="002F6A28" w:rsidP="002F6A28" w14:paraId="2772DF44" w14:textId="77777777">
            <w:pPr>
              <w:spacing w:before="120" w:after="120"/>
              <w:jc w:val="left"/>
              <w:rPr>
                <w:b/>
              </w:rPr>
            </w:pPr>
            <w:r w:rsidRPr="002F6A28">
              <w:rPr>
                <w:b/>
              </w:rPr>
              <w:t>6.</w:t>
            </w:r>
          </w:p>
        </w:tc>
        <w:tc>
          <w:tcPr>
            <w:tcW w:w="8373" w:type="dxa"/>
            <w:shd w:val="clear" w:color="auto" w:fill="auto"/>
          </w:tcPr>
          <w:p w:rsidR="00F85C99" w:rsidRPr="002F6A28" w:rsidP="002F6A28" w14:paraId="7CEC0393" w14:textId="77777777">
            <w:pPr>
              <w:spacing w:before="120" w:after="120"/>
              <w:rPr>
                <w:b/>
              </w:rPr>
            </w:pPr>
            <w:r w:rsidRPr="002F6A28">
              <w:rPr>
                <w:b/>
              </w:rPr>
              <w:t>Description of content:</w:t>
            </w:r>
            <w:r w:rsidRPr="00C379C8" w:rsidR="00FE448B">
              <w:t xml:space="preserve"> This draft Uganda Standard gives the definition and composition of masonry cements as commonly used in the production of mortar for bricklaying and block laying and for rendering and plastering. It includes physical, mechanical, and chemical requirements and defines strength classes. Necessary durability requirements are also given.</w:t>
            </w:r>
          </w:p>
        </w:tc>
      </w:tr>
      <w:tr w14:paraId="1214CFFF" w14:textId="77777777" w:rsidTr="00DB13FE">
        <w:tblPrEx>
          <w:tblW w:w="5000" w:type="pct"/>
          <w:tblLayout w:type="fixed"/>
          <w:tblLook w:val="0000"/>
        </w:tblPrEx>
        <w:tc>
          <w:tcPr>
            <w:tcW w:w="607" w:type="dxa"/>
            <w:shd w:val="clear" w:color="auto" w:fill="auto"/>
          </w:tcPr>
          <w:p w:rsidR="00F85C99" w:rsidRPr="002F6A28" w:rsidP="002F6A28" w14:paraId="384ACAA1" w14:textId="77777777">
            <w:pPr>
              <w:spacing w:before="120" w:after="120"/>
              <w:jc w:val="left"/>
              <w:rPr>
                <w:b/>
              </w:rPr>
            </w:pPr>
            <w:r w:rsidRPr="002F6A28">
              <w:rPr>
                <w:b/>
              </w:rPr>
              <w:t>7.</w:t>
            </w:r>
          </w:p>
        </w:tc>
        <w:tc>
          <w:tcPr>
            <w:tcW w:w="8373" w:type="dxa"/>
            <w:shd w:val="clear" w:color="auto" w:fill="auto"/>
          </w:tcPr>
          <w:p w:rsidR="00F85C99" w:rsidRPr="002F6A28" w:rsidP="002F6A28" w14:paraId="284C4C38"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 Cost saving and productivity enhancement</w:t>
            </w:r>
          </w:p>
        </w:tc>
      </w:tr>
      <w:tr w14:paraId="246DB2EB" w14:textId="77777777" w:rsidTr="00DB13FE">
        <w:tblPrEx>
          <w:tblW w:w="5000" w:type="pct"/>
          <w:tblLayout w:type="fixed"/>
          <w:tblLook w:val="0000"/>
        </w:tblPrEx>
        <w:tc>
          <w:tcPr>
            <w:tcW w:w="607" w:type="dxa"/>
            <w:shd w:val="clear" w:color="auto" w:fill="auto"/>
          </w:tcPr>
          <w:p w:rsidR="00F85C99" w:rsidRPr="002F6A28" w:rsidP="009E75ED" w14:paraId="437C2056" w14:textId="77777777">
            <w:pPr>
              <w:spacing w:before="120" w:after="120"/>
              <w:jc w:val="left"/>
              <w:rPr>
                <w:b/>
              </w:rPr>
            </w:pPr>
            <w:r w:rsidRPr="002F6A28">
              <w:rPr>
                <w:b/>
              </w:rPr>
              <w:t>8.</w:t>
            </w:r>
          </w:p>
        </w:tc>
        <w:tc>
          <w:tcPr>
            <w:tcW w:w="8373" w:type="dxa"/>
            <w:shd w:val="clear" w:color="auto" w:fill="auto"/>
          </w:tcPr>
          <w:p w:rsidR="000C3B6C" w:rsidRPr="00EC00D2" w:rsidP="007F13E8" w14:paraId="0BF14DA6" w14:textId="77777777">
            <w:pPr>
              <w:spacing w:before="120" w:after="120"/>
              <w:rPr>
                <w:bCs/>
              </w:rPr>
            </w:pPr>
            <w:r w:rsidRPr="002F6A28">
              <w:rPr>
                <w:b/>
              </w:rPr>
              <w:t>Relevant documents:</w:t>
            </w:r>
            <w:r w:rsidRPr="002F6A28" w:rsidR="00EE3A11">
              <w:t xml:space="preserve"> </w:t>
            </w:r>
          </w:p>
          <w:p w:rsidR="00EE3A11" w:rsidRPr="002F6A28" w:rsidP="007F13E8" w14:paraId="433C9AF1" w14:textId="77777777">
            <w:pPr>
              <w:numPr>
                <w:ilvl w:val="0"/>
                <w:numId w:val="16"/>
              </w:numPr>
              <w:spacing w:before="120" w:after="120"/>
            </w:pPr>
            <w:r w:rsidRPr="002F6A28">
              <w:t>US EAS 18-1, Cement Part 1: Composition, specification and conformity criteria for common cements</w:t>
            </w:r>
          </w:p>
          <w:p w:rsidR="00EE3A11" w:rsidRPr="002F6A28" w:rsidP="007F13E8" w14:paraId="0710EDE4" w14:textId="77777777">
            <w:pPr>
              <w:numPr>
                <w:ilvl w:val="0"/>
                <w:numId w:val="16"/>
              </w:numPr>
              <w:spacing w:before="120" w:after="120"/>
            </w:pPr>
            <w:r w:rsidRPr="002F6A28">
              <w:t>US EAS 18-2, Cement Part 2: Conformity evaluation</w:t>
            </w:r>
          </w:p>
          <w:p w:rsidR="00EE3A11" w:rsidRPr="002F6A28" w:rsidP="007F13E8" w14:paraId="2F82EB3E" w14:textId="77777777">
            <w:pPr>
              <w:numPr>
                <w:ilvl w:val="0"/>
                <w:numId w:val="16"/>
              </w:numPr>
              <w:spacing w:before="120" w:after="120"/>
            </w:pPr>
            <w:r w:rsidRPr="002F6A28">
              <w:t>US EAS 148-1, Methods of testing cement—Part 1: Determination of strength</w:t>
            </w:r>
          </w:p>
          <w:p w:rsidR="00EE3A11" w:rsidRPr="002F6A28" w:rsidP="007F13E8" w14:paraId="4C8771D4" w14:textId="77777777">
            <w:pPr>
              <w:numPr>
                <w:ilvl w:val="0"/>
                <w:numId w:val="16"/>
              </w:numPr>
              <w:spacing w:before="120" w:after="120"/>
            </w:pPr>
            <w:r w:rsidRPr="002F6A28">
              <w:t>US EAS 148-2, Methods of testing cement—Part 2: Chemical analysis of cement</w:t>
            </w:r>
          </w:p>
          <w:p w:rsidR="00EE3A11" w:rsidRPr="002F6A28" w:rsidP="007F13E8" w14:paraId="0326B6B9" w14:textId="77777777">
            <w:pPr>
              <w:numPr>
                <w:ilvl w:val="0"/>
                <w:numId w:val="16"/>
              </w:numPr>
              <w:spacing w:before="120" w:after="120"/>
            </w:pPr>
            <w:r w:rsidRPr="002F6A28">
              <w:t>US EAS 148-3, Methods of testing cement—Part 3: Determination of setting time and soundness</w:t>
            </w:r>
          </w:p>
          <w:p w:rsidR="00EE3A11" w:rsidRPr="002F6A28" w:rsidP="007F13E8" w14:paraId="7F3C8F7A" w14:textId="77777777">
            <w:pPr>
              <w:numPr>
                <w:ilvl w:val="0"/>
                <w:numId w:val="16"/>
              </w:numPr>
              <w:spacing w:before="120" w:after="120"/>
            </w:pPr>
            <w:r w:rsidRPr="002F6A28">
              <w:t>US EAS 148-4, Methods of testing cement—Part 4: Determination of the chloride, carbon dioxide and alkali content of cement</w:t>
            </w:r>
          </w:p>
          <w:p w:rsidR="00EE3A11" w:rsidRPr="002F6A28" w:rsidP="007F13E8" w14:paraId="515924F9" w14:textId="77777777">
            <w:pPr>
              <w:numPr>
                <w:ilvl w:val="0"/>
                <w:numId w:val="16"/>
              </w:numPr>
              <w:spacing w:before="120" w:after="120"/>
            </w:pPr>
            <w:r w:rsidRPr="002F6A28">
              <w:t>US EAS148-5, Methods of testing cement—Part 5: Pozzolanicity test for pozzolanic cements</w:t>
            </w:r>
          </w:p>
          <w:p w:rsidR="00EE3A11" w:rsidRPr="002F6A28" w:rsidP="007F13E8" w14:paraId="63EC335B" w14:textId="77777777">
            <w:pPr>
              <w:numPr>
                <w:ilvl w:val="0"/>
                <w:numId w:val="16"/>
              </w:numPr>
              <w:spacing w:before="120" w:after="120"/>
            </w:pPr>
            <w:r w:rsidRPr="002F6A28">
              <w:t xml:space="preserve">US EAS148-6, Methods of </w:t>
            </w:r>
            <w:r w:rsidRPr="002F6A28">
              <w:t>testing cement—Part 6: Determination of fineness</w:t>
            </w:r>
          </w:p>
          <w:p w:rsidR="00EE3A11" w:rsidRPr="002F6A28" w:rsidP="007F13E8" w14:paraId="777B0E29" w14:textId="77777777">
            <w:pPr>
              <w:numPr>
                <w:ilvl w:val="0"/>
                <w:numId w:val="16"/>
              </w:numPr>
              <w:spacing w:before="120" w:after="120"/>
            </w:pPr>
            <w:r w:rsidRPr="002F6A28">
              <w:t>US EAS148-7, Methods of testing cement—Part 7: Methods of taking and preparing samples of cement</w:t>
            </w:r>
          </w:p>
          <w:p w:rsidR="00EE3A11" w:rsidRPr="002F6A28" w:rsidP="007F13E8" w14:paraId="46DB2E82" w14:textId="77777777">
            <w:pPr>
              <w:numPr>
                <w:ilvl w:val="0"/>
                <w:numId w:val="16"/>
              </w:numPr>
              <w:spacing w:before="120" w:after="120"/>
            </w:pPr>
            <w:r w:rsidRPr="002F6A28">
              <w:t>US 366-2, Masonry cement - Part 2: Test methods</w:t>
            </w:r>
          </w:p>
          <w:p w:rsidR="00EE3A11" w:rsidRPr="002F6A28" w:rsidP="007F13E8" w14:paraId="6194158E" w14:textId="77777777">
            <w:pPr>
              <w:numPr>
                <w:ilvl w:val="0"/>
                <w:numId w:val="16"/>
              </w:numPr>
              <w:spacing w:before="120" w:after="120"/>
            </w:pPr>
            <w:r w:rsidRPr="002F6A28">
              <w:t>US EAS 73: , Building limes (quicklime and hydrated lime)—Specification</w:t>
            </w:r>
          </w:p>
          <w:p w:rsidR="00EE3A11" w:rsidRPr="002F6A28" w:rsidP="007F13E8" w14:paraId="090BCABF" w14:textId="77777777">
            <w:pPr>
              <w:numPr>
                <w:ilvl w:val="0"/>
                <w:numId w:val="16"/>
              </w:numPr>
              <w:spacing w:before="120" w:after="120"/>
            </w:pPr>
            <w:r w:rsidRPr="002F6A28">
              <w:t>EN 12878, Pigments for the colouration of building materials based on cement and lime—Specification and methods of test</w:t>
            </w:r>
          </w:p>
        </w:tc>
      </w:tr>
      <w:tr w14:paraId="177402AF" w14:textId="77777777" w:rsidTr="00DB13FE">
        <w:tblPrEx>
          <w:tblW w:w="5000" w:type="pct"/>
          <w:tblLayout w:type="fixed"/>
          <w:tblLook w:val="0000"/>
        </w:tblPrEx>
        <w:tc>
          <w:tcPr>
            <w:tcW w:w="607" w:type="dxa"/>
            <w:shd w:val="clear" w:color="auto" w:fill="auto"/>
          </w:tcPr>
          <w:p w:rsidR="00EE3A11" w:rsidRPr="002F6A28" w:rsidP="002F6A28" w14:paraId="1F759752" w14:textId="77777777">
            <w:pPr>
              <w:spacing w:before="120" w:after="120"/>
              <w:jc w:val="left"/>
              <w:rPr>
                <w:b/>
              </w:rPr>
            </w:pPr>
            <w:r w:rsidRPr="002F6A28">
              <w:rPr>
                <w:b/>
              </w:rPr>
              <w:t>9.</w:t>
            </w:r>
          </w:p>
        </w:tc>
        <w:tc>
          <w:tcPr>
            <w:tcW w:w="8373" w:type="dxa"/>
            <w:shd w:val="clear" w:color="auto" w:fill="auto"/>
          </w:tcPr>
          <w:p w:rsidR="00EE3A11" w:rsidRPr="002F6A28" w:rsidP="008953C4" w14:paraId="7D3AF63C" w14:textId="77777777">
            <w:pPr>
              <w:spacing w:before="120" w:after="120"/>
            </w:pPr>
            <w:r w:rsidRPr="002F6A28">
              <w:rPr>
                <w:b/>
              </w:rPr>
              <w:t>Proposed date of adoption:</w:t>
            </w:r>
            <w:r w:rsidRPr="00C379C8">
              <w:t xml:space="preserve"> To be determined</w:t>
            </w:r>
          </w:p>
          <w:p w:rsidR="00EE3A11" w:rsidRPr="002F6A28" w:rsidP="008953C4" w14:paraId="5A0546A5" w14:textId="77777777">
            <w:pPr>
              <w:spacing w:after="120"/>
            </w:pPr>
            <w:r w:rsidRPr="002F6A28">
              <w:rPr>
                <w:b/>
              </w:rPr>
              <w:t>Proposed date of entry into force:</w:t>
            </w:r>
            <w:r w:rsidRPr="00C379C8">
              <w:t xml:space="preserve"> To be determined</w:t>
            </w:r>
          </w:p>
        </w:tc>
      </w:tr>
      <w:tr w14:paraId="56E63ED9" w14:textId="77777777" w:rsidTr="00DB13FE">
        <w:tblPrEx>
          <w:tblW w:w="5000" w:type="pct"/>
          <w:tblLayout w:type="fixed"/>
          <w:tblLook w:val="0000"/>
        </w:tblPrEx>
        <w:tc>
          <w:tcPr>
            <w:tcW w:w="607" w:type="dxa"/>
            <w:tcBorders>
              <w:bottom w:val="double" w:sz="4" w:space="0" w:color="auto"/>
            </w:tcBorders>
            <w:shd w:val="clear" w:color="auto" w:fill="auto"/>
          </w:tcPr>
          <w:p w:rsidR="00F85C99" w:rsidRPr="002F6A28" w:rsidP="002F6A28" w14:paraId="5897A5C6" w14:textId="77777777">
            <w:pPr>
              <w:spacing w:before="120" w:after="120"/>
              <w:jc w:val="left"/>
              <w:rPr>
                <w:b/>
              </w:rPr>
            </w:pPr>
            <w:r w:rsidRPr="002F6A28">
              <w:rPr>
                <w:b/>
              </w:rPr>
              <w:t>10.</w:t>
            </w:r>
          </w:p>
        </w:tc>
        <w:tc>
          <w:tcPr>
            <w:tcW w:w="8373" w:type="dxa"/>
            <w:tcBorders>
              <w:bottom w:val="double" w:sz="4" w:space="0" w:color="auto"/>
            </w:tcBorders>
            <w:shd w:val="clear" w:color="auto" w:fill="auto"/>
          </w:tcPr>
          <w:p w:rsidR="000C3B6C" w:rsidRPr="00E3324D" w:rsidP="000C3B6C" w14:paraId="4CBF9198" w14:textId="77777777">
            <w:pPr>
              <w:tabs>
                <w:tab w:val="left" w:pos="1418"/>
                <w:tab w:val="left" w:pos="2127"/>
                <w:tab w:val="left" w:pos="2835"/>
                <w:tab w:val="left" w:pos="3402"/>
              </w:tabs>
              <w:spacing w:before="120" w:after="120"/>
              <w:rPr>
                <w:b/>
                <w:bCs/>
              </w:rPr>
            </w:pPr>
            <w:r w:rsidRPr="00E3324D">
              <w:rPr>
                <w:b/>
                <w:bCs/>
              </w:rPr>
              <w:t xml:space="preserve">Provision of </w:t>
            </w:r>
            <w:r w:rsidRPr="00E3324D">
              <w:rPr>
                <w:b/>
                <w:bCs/>
              </w:rPr>
              <w:t>comments</w:t>
            </w:r>
          </w:p>
          <w:p w:rsidR="00F85C99" w:rsidP="002F6A28" w14:paraId="6C4146F0" w14:textId="77777777">
            <w:pPr>
              <w:spacing w:before="120" w:after="120"/>
              <w:rPr>
                <w:bCs/>
              </w:rPr>
            </w:pPr>
            <w:r w:rsidRPr="002F6A28">
              <w:rPr>
                <w:b/>
              </w:rPr>
              <w:t>Final date for comments:</w:t>
            </w:r>
            <w:r w:rsidRPr="00C379C8" w:rsidR="00EE3A11">
              <w:t xml:space="preserve"> 22 September 2025</w:t>
            </w:r>
          </w:p>
          <w:p w:rsidR="000C3B6C" w:rsidRPr="00E3324D" w:rsidP="000C3B6C" w14:paraId="1F4B536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7CB9E1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97D9680" w14:textId="77777777">
            <w:r w:rsidRPr="00CE6C29">
              <w:t>Uganda National Bureau of Standards</w:t>
            </w:r>
          </w:p>
          <w:p w:rsidR="00CE6C29" w:rsidRPr="00CE6C29" w:rsidP="000C3B6C" w14:paraId="72038FC7" w14:textId="77777777">
            <w:r w:rsidRPr="00CE6C29">
              <w:t xml:space="preserve">Plot 2-12 ByPass Link, </w:t>
            </w:r>
            <w:r w:rsidRPr="00CE6C29">
              <w:t>Bweyogerere Industrial and Business Park</w:t>
            </w:r>
          </w:p>
          <w:p w:rsidR="00CE6C29" w:rsidRPr="00CE6C29" w:rsidP="000C3B6C" w14:paraId="0DAFB8FC" w14:textId="77777777">
            <w:r w:rsidRPr="00CE6C29">
              <w:t>P.O. Box 6329</w:t>
            </w:r>
          </w:p>
          <w:p w:rsidR="00CE6C29" w:rsidRPr="00CE6C29" w:rsidP="000C3B6C" w14:paraId="29586068" w14:textId="77777777">
            <w:r w:rsidRPr="00CE6C29">
              <w:t>Kampala, Uganda</w:t>
            </w:r>
          </w:p>
          <w:p w:rsidR="00CE6C29" w:rsidRPr="00CE6C29" w:rsidP="000C3B6C" w14:paraId="3E774CD9" w14:textId="77777777">
            <w:r w:rsidRPr="00CE6C29">
              <w:t>Tel: +(256) 4 1733 3250/1/2</w:t>
            </w:r>
          </w:p>
          <w:p w:rsidR="00CE6C29" w:rsidRPr="00CE6C29" w:rsidP="000C3B6C" w14:paraId="01CBFD39" w14:textId="77777777">
            <w:r w:rsidRPr="00CE6C29">
              <w:t>Fax: +(256) 4 1428 6123</w:t>
            </w:r>
          </w:p>
          <w:p w:rsidR="00CE6C29" w:rsidRPr="00CE6C29" w:rsidP="000C3B6C" w14:paraId="09BE25C3" w14:textId="77777777">
            <w:r w:rsidRPr="00CE6C29">
              <w:t xml:space="preserve">E-mail: </w:t>
            </w:r>
            <w:hyperlink r:id="rId5" w:history="1">
              <w:r w:rsidRPr="00CE6C29">
                <w:rPr>
                  <w:color w:val="0000FF"/>
                  <w:u w:val="single"/>
                </w:rPr>
                <w:t>info@unbs.go.ug</w:t>
              </w:r>
            </w:hyperlink>
          </w:p>
          <w:p w:rsidR="00CE6C29" w:rsidRPr="00CE6C29" w:rsidP="000C3B6C" w14:paraId="5EBB6A34"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5A05DFF3"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13197C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C4617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89D26A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9A71FE" w14:textId="77777777">
    <w:pPr>
      <w:pStyle w:val="Header"/>
      <w:pBdr>
        <w:bottom w:val="single" w:sz="4" w:space="1" w:color="auto"/>
      </w:pBdr>
      <w:tabs>
        <w:tab w:val="clear" w:pos="4513"/>
        <w:tab w:val="clear" w:pos="9027"/>
      </w:tabs>
      <w:jc w:val="center"/>
    </w:pPr>
    <w:r w:rsidRPr="002F6A28">
      <w:t>tbtSymbol</w:t>
    </w:r>
  </w:p>
  <w:p w:rsidR="009239F7" w:rsidRPr="002F6A28" w:rsidP="009239F7" w14:paraId="4114215F" w14:textId="77777777">
    <w:pPr>
      <w:pStyle w:val="Header"/>
      <w:pBdr>
        <w:bottom w:val="single" w:sz="4" w:space="1" w:color="auto"/>
      </w:pBdr>
      <w:tabs>
        <w:tab w:val="clear" w:pos="4513"/>
        <w:tab w:val="clear" w:pos="9027"/>
      </w:tabs>
      <w:jc w:val="center"/>
    </w:pPr>
  </w:p>
  <w:p w:rsidR="009239F7" w:rsidRPr="002F6A28" w:rsidP="009239F7" w14:paraId="3C511C5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EB925D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1D484B1" w14:textId="77777777">
    <w:pPr>
      <w:pStyle w:val="Header"/>
      <w:pBdr>
        <w:bottom w:val="single" w:sz="4" w:space="1" w:color="auto"/>
      </w:pBdr>
      <w:tabs>
        <w:tab w:val="clear" w:pos="4513"/>
        <w:tab w:val="clear" w:pos="9027"/>
      </w:tabs>
      <w:jc w:val="center"/>
    </w:pPr>
    <w:bookmarkStart w:id="0" w:name="spsSymbolHeader"/>
    <w:r w:rsidRPr="002F6A28">
      <w:t>G/TBT/N/UGA/2192</w:t>
    </w:r>
    <w:bookmarkEnd w:id="0"/>
  </w:p>
  <w:p w:rsidR="009239F7" w:rsidRPr="002F6A28" w:rsidP="009239F7" w14:paraId="20F34575" w14:textId="77777777">
    <w:pPr>
      <w:pStyle w:val="Header"/>
      <w:pBdr>
        <w:bottom w:val="single" w:sz="4" w:space="1" w:color="auto"/>
      </w:pBdr>
      <w:tabs>
        <w:tab w:val="clear" w:pos="4513"/>
        <w:tab w:val="clear" w:pos="9027"/>
      </w:tabs>
      <w:jc w:val="center"/>
    </w:pPr>
  </w:p>
  <w:p w:rsidR="009239F7" w:rsidRPr="002F6A28" w:rsidP="009239F7" w14:paraId="2FBC541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6F31E9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AB3B9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B77FE8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56DA6F7" w14:textId="77777777">
          <w:pPr>
            <w:jc w:val="right"/>
            <w:rPr>
              <w:b/>
              <w:color w:val="FF0000"/>
              <w:szCs w:val="16"/>
            </w:rPr>
          </w:pPr>
        </w:p>
      </w:tc>
    </w:tr>
    <w:bookmarkEnd w:id="1"/>
    <w:tr w14:paraId="36F69AB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61A761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031F0FB" w14:textId="77777777">
          <w:pPr>
            <w:jc w:val="right"/>
            <w:rPr>
              <w:b/>
              <w:szCs w:val="16"/>
            </w:rPr>
          </w:pPr>
        </w:p>
      </w:tc>
    </w:tr>
    <w:tr w14:paraId="7089CD7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D9AF81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D2B4884" w14:textId="77777777">
          <w:pPr>
            <w:jc w:val="right"/>
            <w:rPr>
              <w:b/>
              <w:szCs w:val="16"/>
            </w:rPr>
          </w:pPr>
          <w:bookmarkStart w:id="2" w:name="bmkSymbols"/>
          <w:r w:rsidRPr="002F6A28">
            <w:rPr>
              <w:b/>
              <w:szCs w:val="16"/>
            </w:rPr>
            <w:t>G/TBT/N/UGA/2192</w:t>
          </w:r>
          <w:bookmarkEnd w:id="2"/>
        </w:p>
      </w:tc>
    </w:tr>
    <w:tr w14:paraId="2673FE7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19C1C14" w14:textId="77777777"/>
      </w:tc>
      <w:tc>
        <w:tcPr>
          <w:tcW w:w="5448" w:type="dxa"/>
          <w:gridSpan w:val="2"/>
          <w:shd w:val="clear" w:color="auto" w:fill="FFFFFF"/>
          <w:tcMar>
            <w:left w:w="108" w:type="dxa"/>
            <w:right w:w="108" w:type="dxa"/>
          </w:tcMar>
          <w:vAlign w:val="center"/>
        </w:tcPr>
        <w:p w:rsidR="00ED54E0" w:rsidRPr="009239F7" w:rsidP="00B801E9" w14:paraId="0CEE20FB" w14:textId="77777777">
          <w:pPr>
            <w:jc w:val="right"/>
            <w:rPr>
              <w:szCs w:val="16"/>
            </w:rPr>
          </w:pPr>
          <w:bookmarkStart w:id="3" w:name="spsDateDistribution"/>
          <w:bookmarkStart w:id="4" w:name="bmkDate"/>
          <w:r w:rsidRPr="009239F7">
            <w:rPr>
              <w:szCs w:val="16"/>
            </w:rPr>
            <w:t>24 July 2025</w:t>
          </w:r>
          <w:bookmarkEnd w:id="3"/>
          <w:bookmarkEnd w:id="4"/>
        </w:p>
      </w:tc>
    </w:tr>
    <w:tr w14:paraId="50999C3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AF53D45" w14:textId="77777777">
          <w:pPr>
            <w:jc w:val="left"/>
            <w:rPr>
              <w:b/>
            </w:rPr>
          </w:pPr>
          <w:bookmarkStart w:id="5" w:name="bmkSerial"/>
          <w:r>
            <w:rPr>
              <w:b w:val="0"/>
              <w:color w:val="FF0000"/>
            </w:rPr>
            <w:t>(25-4769)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D3C627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B65F52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00A939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0CBF44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17B5C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9709293">
    <w:abstractNumId w:val="9"/>
  </w:num>
  <w:num w:numId="2" w16cid:durableId="1242065276">
    <w:abstractNumId w:val="7"/>
  </w:num>
  <w:num w:numId="3" w16cid:durableId="987441062">
    <w:abstractNumId w:val="6"/>
  </w:num>
  <w:num w:numId="4" w16cid:durableId="325133194">
    <w:abstractNumId w:val="5"/>
  </w:num>
  <w:num w:numId="5" w16cid:durableId="370618556">
    <w:abstractNumId w:val="4"/>
  </w:num>
  <w:num w:numId="6" w16cid:durableId="144276650">
    <w:abstractNumId w:val="12"/>
  </w:num>
  <w:num w:numId="7" w16cid:durableId="1440029295">
    <w:abstractNumId w:val="11"/>
  </w:num>
  <w:num w:numId="8" w16cid:durableId="1292129847">
    <w:abstractNumId w:val="10"/>
  </w:num>
  <w:num w:numId="9" w16cid:durableId="73672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4238766">
    <w:abstractNumId w:val="13"/>
  </w:num>
  <w:num w:numId="11" w16cid:durableId="554974936">
    <w:abstractNumId w:val="8"/>
  </w:num>
  <w:num w:numId="12" w16cid:durableId="576524369">
    <w:abstractNumId w:val="3"/>
  </w:num>
  <w:num w:numId="13" w16cid:durableId="36784402">
    <w:abstractNumId w:val="2"/>
  </w:num>
  <w:num w:numId="14" w16cid:durableId="1989434685">
    <w:abstractNumId w:val="1"/>
  </w:num>
  <w:num w:numId="15" w16cid:durableId="762576948">
    <w:abstractNumId w:val="0"/>
  </w:num>
  <w:num w:numId="16" w16cid:durableId="957567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7180E"/>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1257"/>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2AD3"/>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FCC61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4826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2025-07-24T07:50:00Z</dcterms:created>
  <dcterms:modified xsi:type="dcterms:W3CDTF">2025-07-24T07:50:00Z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