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86623A5" w14:textId="77777777">
      <w:pPr>
        <w:pStyle w:val="Title"/>
        <w:rPr>
          <w:caps w:val="0"/>
          <w:kern w:val="0"/>
        </w:rPr>
      </w:pPr>
      <w:r w:rsidRPr="002F6A28">
        <w:rPr>
          <w:caps w:val="0"/>
          <w:kern w:val="0"/>
        </w:rPr>
        <w:t>NOTIFICATION</w:t>
      </w:r>
    </w:p>
    <w:p w:rsidR="009239F7" w:rsidRPr="002F6A28" w:rsidP="002F6A28" w14:paraId="11725B6B" w14:textId="77777777">
      <w:pPr>
        <w:jc w:val="center"/>
      </w:pPr>
      <w:r w:rsidRPr="002F6A28">
        <w:t>The following notification is being circulated in accordance with Article 10.6</w:t>
      </w:r>
    </w:p>
    <w:p w:rsidR="009239F7" w:rsidRPr="002F6A28" w:rsidP="002F6A28" w14:paraId="6B29CF9E"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5FA7F48" w14:textId="77777777" w:rsidTr="00DB13FE">
        <w:tblPrEx>
          <w:tblW w:w="5000" w:type="pct"/>
          <w:tblLayout w:type="fixed"/>
          <w:tblLook w:val="0000"/>
        </w:tblPrEx>
        <w:tc>
          <w:tcPr>
            <w:tcW w:w="607" w:type="dxa"/>
            <w:tcBorders>
              <w:top w:val="double" w:sz="4" w:space="0" w:color="auto"/>
            </w:tcBorders>
            <w:shd w:val="clear" w:color="auto" w:fill="auto"/>
          </w:tcPr>
          <w:p w:rsidR="00F85C99" w:rsidRPr="002F6A28" w:rsidP="002F6A28" w14:paraId="3E0EBFA2" w14:textId="77777777">
            <w:pPr>
              <w:spacing w:before="120" w:after="120"/>
              <w:jc w:val="left"/>
            </w:pPr>
            <w:r w:rsidRPr="002F6A28">
              <w:rPr>
                <w:b/>
              </w:rPr>
              <w:t>1.</w:t>
            </w:r>
          </w:p>
        </w:tc>
        <w:tc>
          <w:tcPr>
            <w:tcW w:w="8373" w:type="dxa"/>
            <w:tcBorders>
              <w:top w:val="double" w:sz="4" w:space="0" w:color="auto"/>
            </w:tcBorders>
            <w:shd w:val="clear" w:color="auto" w:fill="auto"/>
          </w:tcPr>
          <w:p w:rsidR="00F85C99" w:rsidRPr="002F6A28" w:rsidP="00C805B6" w14:paraId="56DA7E98"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173777C5"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AFDE297" w14:textId="77777777" w:rsidTr="00DB13FE">
        <w:tblPrEx>
          <w:tblW w:w="5000" w:type="pct"/>
          <w:tblLayout w:type="fixed"/>
          <w:tblLook w:val="0000"/>
        </w:tblPrEx>
        <w:tc>
          <w:tcPr>
            <w:tcW w:w="607" w:type="dxa"/>
            <w:shd w:val="clear" w:color="auto" w:fill="auto"/>
          </w:tcPr>
          <w:p w:rsidR="00F85C99" w:rsidRPr="002F6A28" w:rsidP="002F6A28" w14:paraId="35F1C845" w14:textId="77777777">
            <w:pPr>
              <w:spacing w:before="120" w:after="120"/>
              <w:jc w:val="left"/>
            </w:pPr>
            <w:r w:rsidRPr="002F6A28">
              <w:rPr>
                <w:b/>
              </w:rPr>
              <w:t>2.</w:t>
            </w:r>
          </w:p>
        </w:tc>
        <w:tc>
          <w:tcPr>
            <w:tcW w:w="8373" w:type="dxa"/>
            <w:shd w:val="clear" w:color="auto" w:fill="auto"/>
          </w:tcPr>
          <w:p w:rsidR="00F85C99" w:rsidRPr="002F6A28" w:rsidP="000C3B6C" w14:paraId="179CD41D" w14:textId="77777777">
            <w:pPr>
              <w:spacing w:before="120" w:after="120"/>
            </w:pPr>
            <w:r w:rsidRPr="002F6A28">
              <w:rPr>
                <w:b/>
              </w:rPr>
              <w:t>Agency responsible:</w:t>
            </w:r>
            <w:r w:rsidRPr="00C379C8" w:rsidR="00EE3A11">
              <w:t xml:space="preserve"> </w:t>
            </w:r>
          </w:p>
          <w:p w:rsidR="00EE3A11" w:rsidRPr="00C379C8" w:rsidP="000C3B6C" w14:paraId="7682163A" w14:textId="77777777">
            <w:r w:rsidRPr="00C379C8">
              <w:t xml:space="preserve">Uganda National Bureau of </w:t>
            </w:r>
            <w:r w:rsidRPr="00C379C8">
              <w:t>Standards</w:t>
            </w:r>
          </w:p>
          <w:p w:rsidR="00EE3A11" w:rsidRPr="00C379C8" w:rsidP="000C3B6C" w14:paraId="779BAA06" w14:textId="77777777">
            <w:r w:rsidRPr="00C379C8">
              <w:t>Plot 2-12 ByPass Link, Bweyogerere Industrial and Business Park</w:t>
            </w:r>
          </w:p>
          <w:p w:rsidR="00EE3A11" w:rsidRPr="00C379C8" w:rsidP="000C3B6C" w14:paraId="29D6AB3B" w14:textId="77777777">
            <w:r w:rsidRPr="00C379C8">
              <w:t>P.O. Box 6329</w:t>
            </w:r>
          </w:p>
          <w:p w:rsidR="00EE3A11" w:rsidRPr="00C379C8" w:rsidP="000C3B6C" w14:paraId="2B73C46F" w14:textId="77777777">
            <w:r w:rsidRPr="00C379C8">
              <w:t>Kampala, Uganda</w:t>
            </w:r>
          </w:p>
          <w:p w:rsidR="00EE3A11" w:rsidRPr="00C379C8" w:rsidP="000C3B6C" w14:paraId="1343B38A" w14:textId="77777777">
            <w:r w:rsidRPr="00C379C8">
              <w:t>Tel: +(256) 4 1733 3250/1/2</w:t>
            </w:r>
          </w:p>
          <w:p w:rsidR="00EE3A11" w:rsidRPr="00C379C8" w:rsidP="000C3B6C" w14:paraId="274B671D" w14:textId="77777777">
            <w:r w:rsidRPr="00C379C8">
              <w:t>Fax: +(256) 4 1428 6123</w:t>
            </w:r>
          </w:p>
          <w:p w:rsidR="00EE3A11" w:rsidRPr="00C379C8" w:rsidP="000C3B6C" w14:paraId="12BF7CEF" w14:textId="77777777">
            <w:r w:rsidRPr="00C379C8">
              <w:t xml:space="preserve">E-mail: </w:t>
            </w:r>
            <w:hyperlink r:id="rId5" w:history="1">
              <w:r w:rsidRPr="00C379C8">
                <w:rPr>
                  <w:color w:val="0000FF"/>
                  <w:u w:val="single"/>
                </w:rPr>
                <w:t>info@unbs.go.ug</w:t>
              </w:r>
            </w:hyperlink>
          </w:p>
          <w:p w:rsidR="00EE3A11" w:rsidRPr="00C379C8" w:rsidP="000C3B6C" w14:paraId="5728958B" w14:textId="77777777">
            <w:pPr>
              <w:spacing w:after="120"/>
            </w:pPr>
            <w:r w:rsidRPr="00C379C8">
              <w:t xml:space="preserve">Website: </w:t>
            </w:r>
            <w:hyperlink r:id="rId6" w:tgtFrame="_blank" w:history="1">
              <w:r w:rsidRPr="00C379C8">
                <w:rPr>
                  <w:color w:val="0000FF"/>
                  <w:u w:val="single"/>
                </w:rPr>
                <w:t>https://www.unbs.go.ug</w:t>
              </w:r>
            </w:hyperlink>
          </w:p>
        </w:tc>
      </w:tr>
      <w:tr w14:paraId="529BFC64" w14:textId="77777777" w:rsidTr="00DB13FE">
        <w:tblPrEx>
          <w:tblW w:w="5000" w:type="pct"/>
          <w:tblLayout w:type="fixed"/>
          <w:tblLook w:val="0000"/>
        </w:tblPrEx>
        <w:tc>
          <w:tcPr>
            <w:tcW w:w="607" w:type="dxa"/>
            <w:shd w:val="clear" w:color="auto" w:fill="auto"/>
          </w:tcPr>
          <w:p w:rsidR="00F85C99" w:rsidRPr="002F6A28" w:rsidP="002F6A28" w14:paraId="08EAA6AE" w14:textId="77777777">
            <w:pPr>
              <w:spacing w:before="120" w:after="120"/>
              <w:jc w:val="left"/>
              <w:rPr>
                <w:b/>
              </w:rPr>
            </w:pPr>
            <w:r w:rsidRPr="002F6A28">
              <w:rPr>
                <w:b/>
              </w:rPr>
              <w:t>3.</w:t>
            </w:r>
          </w:p>
        </w:tc>
        <w:tc>
          <w:tcPr>
            <w:tcW w:w="8373" w:type="dxa"/>
            <w:shd w:val="clear" w:color="auto" w:fill="auto"/>
          </w:tcPr>
          <w:p w:rsidR="00F85C99" w:rsidRPr="0058336F" w:rsidP="002F6A28" w14:paraId="2D09234D"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6950F58" w14:textId="77777777" w:rsidTr="00DB13FE">
        <w:tblPrEx>
          <w:tblW w:w="5000" w:type="pct"/>
          <w:tblLayout w:type="fixed"/>
          <w:tblLook w:val="0000"/>
        </w:tblPrEx>
        <w:tc>
          <w:tcPr>
            <w:tcW w:w="607" w:type="dxa"/>
            <w:shd w:val="clear" w:color="auto" w:fill="auto"/>
          </w:tcPr>
          <w:p w:rsidR="00F85C99" w:rsidRPr="002F6A28" w:rsidP="002F6A28" w14:paraId="452E63BE" w14:textId="77777777">
            <w:pPr>
              <w:spacing w:before="120" w:after="120"/>
              <w:jc w:val="left"/>
            </w:pPr>
            <w:r w:rsidRPr="002F6A28">
              <w:rPr>
                <w:b/>
              </w:rPr>
              <w:t>4.</w:t>
            </w:r>
          </w:p>
        </w:tc>
        <w:tc>
          <w:tcPr>
            <w:tcW w:w="8373" w:type="dxa"/>
            <w:shd w:val="clear" w:color="auto" w:fill="auto"/>
          </w:tcPr>
          <w:p w:rsidR="00F85C99" w:rsidRPr="002F6A28" w:rsidP="002F6A28" w14:paraId="1FB53A94" w14:textId="77777777">
            <w:pPr>
              <w:spacing w:before="120" w:after="120"/>
            </w:pPr>
            <w:r w:rsidRPr="00E3324D">
              <w:rPr>
                <w:b/>
                <w:bCs/>
              </w:rPr>
              <w:t xml:space="preserve">Products covered (HS codes or </w:t>
            </w:r>
            <w:r w:rsidRPr="00E3324D">
              <w:rPr>
                <w:b/>
                <w:bCs/>
              </w:rPr>
              <w:t>national tariff lines. ICS numbers may be provided in addition, where applicable)</w:t>
            </w:r>
            <w:r w:rsidRPr="002F6A28">
              <w:rPr>
                <w:b/>
              </w:rPr>
              <w:t>:</w:t>
            </w:r>
            <w:r w:rsidRPr="00C379C8" w:rsidR="00EE3A11">
              <w:t xml:space="preserve"> - Portland cement: (HS code(s): 25232); Cement, Gypsum, Lime, Mortar (ICS code(s): 91.100.10); Masonry cement</w:t>
            </w:r>
          </w:p>
        </w:tc>
      </w:tr>
      <w:tr w14:paraId="77D2AF51" w14:textId="77777777" w:rsidTr="00DB13FE">
        <w:tblPrEx>
          <w:tblW w:w="5000" w:type="pct"/>
          <w:tblLayout w:type="fixed"/>
          <w:tblLook w:val="0000"/>
        </w:tblPrEx>
        <w:tc>
          <w:tcPr>
            <w:tcW w:w="607" w:type="dxa"/>
            <w:shd w:val="clear" w:color="auto" w:fill="auto"/>
          </w:tcPr>
          <w:p w:rsidR="00F85C99" w:rsidRPr="002F6A28" w:rsidP="002F6A28" w14:paraId="1F7A52B3" w14:textId="77777777">
            <w:pPr>
              <w:spacing w:before="120" w:after="120"/>
              <w:jc w:val="left"/>
            </w:pPr>
            <w:r w:rsidRPr="002F6A28">
              <w:rPr>
                <w:b/>
              </w:rPr>
              <w:t>5.</w:t>
            </w:r>
          </w:p>
        </w:tc>
        <w:tc>
          <w:tcPr>
            <w:tcW w:w="8373" w:type="dxa"/>
            <w:shd w:val="clear" w:color="auto" w:fill="auto"/>
          </w:tcPr>
          <w:p w:rsidR="00F85C99" w:rsidP="002F6A28" w14:paraId="32C36B8E"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366-2: 2025, Masonry cement – Part 2: Test methods, Second Edition; (24 page(s), in English)</w:t>
            </w:r>
          </w:p>
          <w:p w:rsidR="000C3B6C" w:rsidRPr="000C3B6C" w:rsidP="002F6A28" w14:paraId="0E01E7DA"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C1290" w:rsidRPr="00CE6C29" w:rsidP="002F6A28" w14:paraId="7A2851AF"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https://members.wto.org/crnattachments/2025/TBT/UGA/25_04825_00_e.pdf</w:t>
              </w:r>
            </w:hyperlink>
          </w:p>
        </w:tc>
      </w:tr>
      <w:tr w14:paraId="6FDFF65C" w14:textId="77777777" w:rsidTr="00DB13FE">
        <w:tblPrEx>
          <w:tblW w:w="5000" w:type="pct"/>
          <w:tblLayout w:type="fixed"/>
          <w:tblLook w:val="0000"/>
        </w:tblPrEx>
        <w:tc>
          <w:tcPr>
            <w:tcW w:w="607" w:type="dxa"/>
            <w:shd w:val="clear" w:color="auto" w:fill="auto"/>
          </w:tcPr>
          <w:p w:rsidR="00F85C99" w:rsidRPr="002F6A28" w:rsidP="002F6A28" w14:paraId="689CA34B" w14:textId="77777777">
            <w:pPr>
              <w:spacing w:before="120" w:after="120"/>
              <w:jc w:val="left"/>
              <w:rPr>
                <w:b/>
              </w:rPr>
            </w:pPr>
            <w:r w:rsidRPr="002F6A28">
              <w:rPr>
                <w:b/>
              </w:rPr>
              <w:t>6.</w:t>
            </w:r>
          </w:p>
        </w:tc>
        <w:tc>
          <w:tcPr>
            <w:tcW w:w="8373" w:type="dxa"/>
            <w:shd w:val="clear" w:color="auto" w:fill="auto"/>
          </w:tcPr>
          <w:p w:rsidR="00F85C99" w:rsidRPr="002F6A28" w:rsidP="002F6A28" w14:paraId="5C31719A" w14:textId="77777777">
            <w:pPr>
              <w:spacing w:before="120" w:after="120"/>
              <w:rPr>
                <w:b/>
              </w:rPr>
            </w:pPr>
            <w:r w:rsidRPr="002F6A28">
              <w:rPr>
                <w:b/>
              </w:rPr>
              <w:t>Description of content:</w:t>
            </w:r>
            <w:r w:rsidRPr="00C379C8" w:rsidR="00FE448B">
              <w:t xml:space="preserve"> This Draft Uganda Standard describes reference and alternative test methods to be used when testing masonry cements to assess their conformity to DUS 366–1. It gives the tests on fresh mortar for consistence, water retention, air content and workability. In the event of a dispute, only the reference methods are used.</w:t>
            </w:r>
          </w:p>
        </w:tc>
      </w:tr>
      <w:tr w14:paraId="5E918D82" w14:textId="77777777" w:rsidTr="00DB13FE">
        <w:tblPrEx>
          <w:tblW w:w="5000" w:type="pct"/>
          <w:tblLayout w:type="fixed"/>
          <w:tblLook w:val="0000"/>
        </w:tblPrEx>
        <w:tc>
          <w:tcPr>
            <w:tcW w:w="607" w:type="dxa"/>
            <w:shd w:val="clear" w:color="auto" w:fill="auto"/>
          </w:tcPr>
          <w:p w:rsidR="00F85C99" w:rsidRPr="002F6A28" w:rsidP="002F6A28" w14:paraId="7DFB2A51" w14:textId="77777777">
            <w:pPr>
              <w:spacing w:before="120" w:after="120"/>
              <w:jc w:val="left"/>
              <w:rPr>
                <w:b/>
              </w:rPr>
            </w:pPr>
            <w:r w:rsidRPr="002F6A28">
              <w:rPr>
                <w:b/>
              </w:rPr>
              <w:t>7.</w:t>
            </w:r>
          </w:p>
        </w:tc>
        <w:tc>
          <w:tcPr>
            <w:tcW w:w="8373" w:type="dxa"/>
            <w:shd w:val="clear" w:color="auto" w:fill="auto"/>
          </w:tcPr>
          <w:p w:rsidR="00F85C99" w:rsidRPr="002F6A28" w:rsidP="002F6A28" w14:paraId="27937238"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Quality requirements</w:t>
            </w:r>
          </w:p>
        </w:tc>
      </w:tr>
      <w:tr w14:paraId="6C426DD9" w14:textId="77777777" w:rsidTr="00DB13FE">
        <w:tblPrEx>
          <w:tblW w:w="5000" w:type="pct"/>
          <w:tblLayout w:type="fixed"/>
          <w:tblLook w:val="0000"/>
        </w:tblPrEx>
        <w:tc>
          <w:tcPr>
            <w:tcW w:w="607" w:type="dxa"/>
            <w:shd w:val="clear" w:color="auto" w:fill="auto"/>
          </w:tcPr>
          <w:p w:rsidR="00F85C99" w:rsidRPr="002F6A28" w:rsidP="009E75ED" w14:paraId="10EE92CA" w14:textId="77777777">
            <w:pPr>
              <w:spacing w:before="120" w:after="120"/>
              <w:jc w:val="left"/>
              <w:rPr>
                <w:b/>
              </w:rPr>
            </w:pPr>
            <w:r w:rsidRPr="002F6A28">
              <w:rPr>
                <w:b/>
              </w:rPr>
              <w:t>8.</w:t>
            </w:r>
          </w:p>
        </w:tc>
        <w:tc>
          <w:tcPr>
            <w:tcW w:w="8373" w:type="dxa"/>
            <w:shd w:val="clear" w:color="auto" w:fill="auto"/>
          </w:tcPr>
          <w:p w:rsidR="000C3B6C" w:rsidRPr="00EC00D2" w:rsidP="007F13E8" w14:paraId="2B820BB4" w14:textId="77777777">
            <w:pPr>
              <w:spacing w:before="120" w:after="120"/>
              <w:rPr>
                <w:bCs/>
              </w:rPr>
            </w:pPr>
            <w:r w:rsidRPr="002F6A28">
              <w:rPr>
                <w:b/>
              </w:rPr>
              <w:t>Relevant documents:</w:t>
            </w:r>
            <w:r w:rsidRPr="002F6A28" w:rsidR="00EE3A11">
              <w:t xml:space="preserve"> </w:t>
            </w:r>
          </w:p>
          <w:p w:rsidR="00EE3A11" w:rsidRPr="002F6A28" w:rsidP="007F13E8" w14:paraId="3707B456" w14:textId="77777777">
            <w:pPr>
              <w:numPr>
                <w:ilvl w:val="0"/>
                <w:numId w:val="16"/>
              </w:numPr>
              <w:spacing w:before="120" w:after="120"/>
            </w:pPr>
            <w:r w:rsidRPr="002F6A28">
              <w:t xml:space="preserve">US EAS148-1, Methods of testing </w:t>
            </w:r>
            <w:r w:rsidRPr="002F6A28">
              <w:t>cement—Part 1: Determination of strength</w:t>
            </w:r>
          </w:p>
          <w:p w:rsidR="00EE3A11" w:rsidRPr="002F6A28" w:rsidP="007F13E8" w14:paraId="3D9E06B5" w14:textId="77777777">
            <w:pPr>
              <w:numPr>
                <w:ilvl w:val="0"/>
                <w:numId w:val="16"/>
              </w:numPr>
              <w:spacing w:before="120" w:after="120"/>
            </w:pPr>
            <w:r w:rsidRPr="002F6A28">
              <w:t>US 366-1, Masonry cement - Part 1: Specification</w:t>
            </w:r>
          </w:p>
          <w:p w:rsidR="00EE3A11" w:rsidRPr="002F6A28" w:rsidP="007F13E8" w14:paraId="727421D2" w14:textId="77777777">
            <w:pPr>
              <w:numPr>
                <w:ilvl w:val="0"/>
                <w:numId w:val="16"/>
              </w:numPr>
              <w:spacing w:before="120" w:after="120"/>
            </w:pPr>
            <w:r w:rsidRPr="002F6A28">
              <w:t>US EAS 73, Building limes (quicklime and hydrated lime)—Specification</w:t>
            </w:r>
          </w:p>
        </w:tc>
      </w:tr>
      <w:tr w14:paraId="4C18D705" w14:textId="77777777" w:rsidTr="00DB13FE">
        <w:tblPrEx>
          <w:tblW w:w="5000" w:type="pct"/>
          <w:tblLayout w:type="fixed"/>
          <w:tblLook w:val="0000"/>
        </w:tblPrEx>
        <w:tc>
          <w:tcPr>
            <w:tcW w:w="607" w:type="dxa"/>
            <w:shd w:val="clear" w:color="auto" w:fill="auto"/>
          </w:tcPr>
          <w:p w:rsidR="00EE3A11" w:rsidRPr="002F6A28" w:rsidP="002F6A28" w14:paraId="4B7D01B6" w14:textId="77777777">
            <w:pPr>
              <w:spacing w:before="120" w:after="120"/>
              <w:jc w:val="left"/>
              <w:rPr>
                <w:b/>
              </w:rPr>
            </w:pPr>
            <w:r w:rsidRPr="002F6A28">
              <w:rPr>
                <w:b/>
              </w:rPr>
              <w:t>9.</w:t>
            </w:r>
          </w:p>
        </w:tc>
        <w:tc>
          <w:tcPr>
            <w:tcW w:w="8373" w:type="dxa"/>
            <w:shd w:val="clear" w:color="auto" w:fill="auto"/>
          </w:tcPr>
          <w:p w:rsidR="00EE3A11" w:rsidRPr="002F6A28" w:rsidP="008953C4" w14:paraId="15B781E8" w14:textId="77777777">
            <w:pPr>
              <w:spacing w:before="120" w:after="120"/>
            </w:pPr>
            <w:r w:rsidRPr="002F6A28">
              <w:rPr>
                <w:b/>
              </w:rPr>
              <w:t>Proposed date of adoption:</w:t>
            </w:r>
            <w:r w:rsidRPr="00C379C8">
              <w:t xml:space="preserve"> To be determined</w:t>
            </w:r>
          </w:p>
          <w:p w:rsidR="00EE3A11" w:rsidRPr="002F6A28" w:rsidP="008953C4" w14:paraId="3BFF4C24" w14:textId="77777777">
            <w:pPr>
              <w:spacing w:after="120"/>
            </w:pPr>
            <w:r w:rsidRPr="002F6A28">
              <w:rPr>
                <w:b/>
              </w:rPr>
              <w:t>Proposed date of entry into force:</w:t>
            </w:r>
            <w:r w:rsidRPr="00C379C8">
              <w:t xml:space="preserve"> Not </w:t>
            </w:r>
            <w:r w:rsidRPr="00C379C8">
              <w:t>applicable</w:t>
            </w:r>
          </w:p>
        </w:tc>
      </w:tr>
      <w:tr w14:paraId="1D7FA0B7" w14:textId="77777777" w:rsidTr="00DB13FE">
        <w:tblPrEx>
          <w:tblW w:w="5000" w:type="pct"/>
          <w:tblLayout w:type="fixed"/>
          <w:tblLook w:val="0000"/>
        </w:tblPrEx>
        <w:tc>
          <w:tcPr>
            <w:tcW w:w="607" w:type="dxa"/>
            <w:tcBorders>
              <w:bottom w:val="double" w:sz="4" w:space="0" w:color="auto"/>
            </w:tcBorders>
            <w:shd w:val="clear" w:color="auto" w:fill="auto"/>
          </w:tcPr>
          <w:p w:rsidR="00F85C99" w:rsidRPr="002F6A28" w:rsidP="002F6A28" w14:paraId="6FFDC1C4" w14:textId="77777777">
            <w:pPr>
              <w:spacing w:before="120" w:after="120"/>
              <w:jc w:val="left"/>
              <w:rPr>
                <w:b/>
              </w:rPr>
            </w:pPr>
            <w:r w:rsidRPr="002F6A28">
              <w:rPr>
                <w:b/>
              </w:rPr>
              <w:t>10.</w:t>
            </w:r>
          </w:p>
        </w:tc>
        <w:tc>
          <w:tcPr>
            <w:tcW w:w="8373" w:type="dxa"/>
            <w:tcBorders>
              <w:bottom w:val="double" w:sz="4" w:space="0" w:color="auto"/>
            </w:tcBorders>
            <w:shd w:val="clear" w:color="auto" w:fill="auto"/>
          </w:tcPr>
          <w:p w:rsidR="000C3B6C" w:rsidRPr="00E3324D" w:rsidP="000C3B6C" w14:paraId="74FF6C1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5E1CFBA" w14:textId="77777777">
            <w:pPr>
              <w:spacing w:before="120" w:after="120"/>
              <w:rPr>
                <w:bCs/>
              </w:rPr>
            </w:pPr>
            <w:r w:rsidRPr="002F6A28">
              <w:rPr>
                <w:b/>
              </w:rPr>
              <w:t>Final date for comments:</w:t>
            </w:r>
            <w:r w:rsidRPr="00C379C8" w:rsidR="00EE3A11">
              <w:t xml:space="preserve"> 22 September 2025</w:t>
            </w:r>
          </w:p>
          <w:p w:rsidR="000C3B6C" w:rsidRPr="00E3324D" w:rsidP="000C3B6C" w14:paraId="42EAB650"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160E731"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D920B42" w14:textId="77777777">
            <w:r w:rsidRPr="00CE6C29">
              <w:t>Uganda National Bureau of Standards</w:t>
            </w:r>
          </w:p>
          <w:p w:rsidR="00CE6C29" w:rsidRPr="00CE6C29" w:rsidP="000C3B6C" w14:paraId="26C6AF41" w14:textId="77777777">
            <w:r w:rsidRPr="00CE6C29">
              <w:t xml:space="preserve">Plot </w:t>
            </w:r>
            <w:r w:rsidRPr="00CE6C29">
              <w:t>2-12 ByPass Link, Bweyogerere Industrial and Business Park</w:t>
            </w:r>
          </w:p>
          <w:p w:rsidR="00CE6C29" w:rsidRPr="00CE6C29" w:rsidP="000C3B6C" w14:paraId="2F3E2702" w14:textId="77777777">
            <w:r w:rsidRPr="00CE6C29">
              <w:t>P.O. Box 6329</w:t>
            </w:r>
          </w:p>
          <w:p w:rsidR="00CE6C29" w:rsidRPr="00CE6C29" w:rsidP="000C3B6C" w14:paraId="7E6B3BC2" w14:textId="77777777">
            <w:r w:rsidRPr="00CE6C29">
              <w:t>Kampala, Uganda</w:t>
            </w:r>
          </w:p>
          <w:p w:rsidR="00CE6C29" w:rsidRPr="00CE6C29" w:rsidP="000C3B6C" w14:paraId="72E07EFB" w14:textId="77777777">
            <w:r w:rsidRPr="00CE6C29">
              <w:t>Tel: +(256) 4 1733 3250/1/2</w:t>
            </w:r>
          </w:p>
          <w:p w:rsidR="00CE6C29" w:rsidRPr="00CE6C29" w:rsidP="000C3B6C" w14:paraId="2974469D" w14:textId="77777777">
            <w:r w:rsidRPr="00CE6C29">
              <w:t>Fax: +(256) 4 1428 6123</w:t>
            </w:r>
          </w:p>
          <w:p w:rsidR="00CE6C29" w:rsidRPr="00CE6C29" w:rsidP="000C3B6C" w14:paraId="6CC5D05F" w14:textId="77777777">
            <w:r w:rsidRPr="00CE6C29">
              <w:t xml:space="preserve">E-mail: </w:t>
            </w:r>
            <w:hyperlink r:id="rId5" w:history="1">
              <w:r w:rsidRPr="00CE6C29">
                <w:rPr>
                  <w:color w:val="0000FF"/>
                  <w:u w:val="single"/>
                </w:rPr>
                <w:t>info@unbs.go.ug</w:t>
              </w:r>
            </w:hyperlink>
          </w:p>
          <w:p w:rsidR="00CE6C29" w:rsidRPr="00CE6C29" w:rsidP="000C3B6C" w14:paraId="7BD7B675" w14:textId="77777777">
            <w:pPr>
              <w:spacing w:after="120"/>
            </w:pPr>
            <w:r w:rsidRPr="00CE6C29">
              <w:t xml:space="preserve">Website: </w:t>
            </w:r>
            <w:hyperlink r:id="rId6" w:tgtFrame="_blank" w:history="1">
              <w:r w:rsidRPr="00CE6C29">
                <w:rPr>
                  <w:color w:val="0000FF"/>
                  <w:u w:val="single"/>
                </w:rPr>
                <w:t>https://www.unbs.go.ug</w:t>
              </w:r>
            </w:hyperlink>
          </w:p>
        </w:tc>
      </w:tr>
    </w:tbl>
    <w:p w:rsidR="00EE3A11" w:rsidRPr="002F6A28" w:rsidP="00887259" w14:paraId="444549D9"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D89196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B885F62"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B6E25D5"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EFE4A56" w14:textId="77777777">
    <w:pPr>
      <w:pStyle w:val="Header"/>
      <w:pBdr>
        <w:bottom w:val="single" w:sz="4" w:space="1" w:color="auto"/>
      </w:pBdr>
      <w:tabs>
        <w:tab w:val="clear" w:pos="4513"/>
        <w:tab w:val="clear" w:pos="9027"/>
      </w:tabs>
      <w:jc w:val="center"/>
    </w:pPr>
    <w:r w:rsidRPr="002F6A28">
      <w:t>tbtSymbol</w:t>
    </w:r>
  </w:p>
  <w:p w:rsidR="009239F7" w:rsidRPr="002F6A28" w:rsidP="009239F7" w14:paraId="2C76B603" w14:textId="77777777">
    <w:pPr>
      <w:pStyle w:val="Header"/>
      <w:pBdr>
        <w:bottom w:val="single" w:sz="4" w:space="1" w:color="auto"/>
      </w:pBdr>
      <w:tabs>
        <w:tab w:val="clear" w:pos="4513"/>
        <w:tab w:val="clear" w:pos="9027"/>
      </w:tabs>
      <w:jc w:val="center"/>
    </w:pPr>
  </w:p>
  <w:p w:rsidR="009239F7" w:rsidRPr="002F6A28" w:rsidP="009239F7" w14:paraId="613152C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C4267C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BDB60F4" w14:textId="77777777">
    <w:pPr>
      <w:pStyle w:val="Header"/>
      <w:pBdr>
        <w:bottom w:val="single" w:sz="4" w:space="1" w:color="auto"/>
      </w:pBdr>
      <w:tabs>
        <w:tab w:val="clear" w:pos="4513"/>
        <w:tab w:val="clear" w:pos="9027"/>
      </w:tabs>
      <w:jc w:val="center"/>
    </w:pPr>
    <w:bookmarkStart w:id="0" w:name="spsSymbolHeader"/>
    <w:r w:rsidRPr="002F6A28">
      <w:t>G/TBT/N/UGA/2191</w:t>
    </w:r>
    <w:bookmarkEnd w:id="0"/>
  </w:p>
  <w:p w:rsidR="009239F7" w:rsidRPr="002F6A28" w:rsidP="009239F7" w14:paraId="2A237830" w14:textId="77777777">
    <w:pPr>
      <w:pStyle w:val="Header"/>
      <w:pBdr>
        <w:bottom w:val="single" w:sz="4" w:space="1" w:color="auto"/>
      </w:pBdr>
      <w:tabs>
        <w:tab w:val="clear" w:pos="4513"/>
        <w:tab w:val="clear" w:pos="9027"/>
      </w:tabs>
      <w:jc w:val="center"/>
    </w:pPr>
  </w:p>
  <w:p w:rsidR="009239F7" w:rsidRPr="002F6A28" w:rsidP="009239F7" w14:paraId="2DC6938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61707A0"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7133A3F"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742A16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235DAAF" w14:textId="77777777">
          <w:pPr>
            <w:jc w:val="right"/>
            <w:rPr>
              <w:b/>
              <w:color w:val="FF0000"/>
              <w:szCs w:val="16"/>
            </w:rPr>
          </w:pPr>
        </w:p>
      </w:tc>
    </w:tr>
    <w:bookmarkEnd w:id="1"/>
    <w:tr w14:paraId="5ABBB87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7AE787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B4FAD65" w14:textId="77777777">
          <w:pPr>
            <w:jc w:val="right"/>
            <w:rPr>
              <w:b/>
              <w:szCs w:val="16"/>
            </w:rPr>
          </w:pPr>
        </w:p>
      </w:tc>
    </w:tr>
    <w:tr w14:paraId="3A1918A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EA04641"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5B41F15" w14:textId="77777777">
          <w:pPr>
            <w:jc w:val="right"/>
            <w:rPr>
              <w:b/>
              <w:szCs w:val="16"/>
            </w:rPr>
          </w:pPr>
          <w:bookmarkStart w:id="2" w:name="bmkSymbols"/>
          <w:r w:rsidRPr="002F6A28">
            <w:rPr>
              <w:b/>
              <w:szCs w:val="16"/>
            </w:rPr>
            <w:t>G/TBT/N/UGA/2191</w:t>
          </w:r>
          <w:bookmarkEnd w:id="2"/>
        </w:p>
      </w:tc>
    </w:tr>
    <w:tr w14:paraId="6D2A76D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FD3CF6D" w14:textId="77777777"/>
      </w:tc>
      <w:tc>
        <w:tcPr>
          <w:tcW w:w="5448" w:type="dxa"/>
          <w:gridSpan w:val="2"/>
          <w:shd w:val="clear" w:color="auto" w:fill="FFFFFF"/>
          <w:tcMar>
            <w:left w:w="108" w:type="dxa"/>
            <w:right w:w="108" w:type="dxa"/>
          </w:tcMar>
          <w:vAlign w:val="center"/>
        </w:tcPr>
        <w:p w:rsidR="00ED54E0" w:rsidRPr="009239F7" w:rsidP="00B801E9" w14:paraId="2BC9861B" w14:textId="77777777">
          <w:pPr>
            <w:jc w:val="right"/>
            <w:rPr>
              <w:szCs w:val="16"/>
            </w:rPr>
          </w:pPr>
          <w:bookmarkStart w:id="3" w:name="spsDateDistribution"/>
          <w:bookmarkStart w:id="4" w:name="bmkDate"/>
          <w:r w:rsidRPr="009239F7">
            <w:rPr>
              <w:szCs w:val="16"/>
            </w:rPr>
            <w:t>24 July 2025</w:t>
          </w:r>
          <w:bookmarkEnd w:id="3"/>
          <w:bookmarkEnd w:id="4"/>
        </w:p>
      </w:tc>
    </w:tr>
    <w:tr w14:paraId="42BB3FB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11F4AA4" w14:textId="77777777">
          <w:pPr>
            <w:jc w:val="left"/>
            <w:rPr>
              <w:b/>
            </w:rPr>
          </w:pPr>
          <w:bookmarkStart w:id="5" w:name="bmkSerial"/>
          <w:r>
            <w:rPr>
              <w:b w:val="0"/>
              <w:color w:val="FF0000"/>
            </w:rPr>
            <w:t>(25-4768)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87F325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4DE9AAA"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488697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04291C3"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AE047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39522230">
    <w:abstractNumId w:val="9"/>
  </w:num>
  <w:num w:numId="2" w16cid:durableId="1599220193">
    <w:abstractNumId w:val="7"/>
  </w:num>
  <w:num w:numId="3" w16cid:durableId="1742098590">
    <w:abstractNumId w:val="6"/>
  </w:num>
  <w:num w:numId="4" w16cid:durableId="1841965107">
    <w:abstractNumId w:val="5"/>
  </w:num>
  <w:num w:numId="5" w16cid:durableId="1689019246">
    <w:abstractNumId w:val="4"/>
  </w:num>
  <w:num w:numId="6" w16cid:durableId="203494071">
    <w:abstractNumId w:val="12"/>
  </w:num>
  <w:num w:numId="7" w16cid:durableId="310408864">
    <w:abstractNumId w:val="11"/>
  </w:num>
  <w:num w:numId="8" w16cid:durableId="2144686788">
    <w:abstractNumId w:val="10"/>
  </w:num>
  <w:num w:numId="9" w16cid:durableId="662899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8393539">
    <w:abstractNumId w:val="13"/>
  </w:num>
  <w:num w:numId="11" w16cid:durableId="979532074">
    <w:abstractNumId w:val="8"/>
  </w:num>
  <w:num w:numId="12" w16cid:durableId="89283565">
    <w:abstractNumId w:val="3"/>
  </w:num>
  <w:num w:numId="13" w16cid:durableId="834299034">
    <w:abstractNumId w:val="2"/>
  </w:num>
  <w:num w:numId="14" w16cid:durableId="1267036068">
    <w:abstractNumId w:val="1"/>
  </w:num>
  <w:num w:numId="15" w16cid:durableId="363402958">
    <w:abstractNumId w:val="0"/>
  </w:num>
  <w:num w:numId="16" w16cid:durableId="9633415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1290"/>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0C12"/>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D2392"/>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86A9C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4825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2025-07-24T07:49:00Z</dcterms:created>
  <dcterms:modified xsi:type="dcterms:W3CDTF">2025-07-24T07:49:00Z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