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0A3870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C805CE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378F4B1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4CE76F7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624FFDE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1CD157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23BE0C3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B8FF79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5AC587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1FCA891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7FA62F1" w14:textId="77777777">
            <w:r w:rsidRPr="00C379C8">
              <w:t>Rwanda Standards Board (RSB)</w:t>
            </w:r>
          </w:p>
          <w:p w:rsidR="00EE3A11" w:rsidRPr="00C379C8" w:rsidP="00155128" w14:paraId="1BB28FBE" w14:textId="77777777">
            <w:r w:rsidRPr="00C379C8">
              <w:t xml:space="preserve">KK 15 </w:t>
            </w:r>
            <w:r w:rsidRPr="00C379C8">
              <w:t>Rd, 49</w:t>
            </w:r>
          </w:p>
          <w:p w:rsidR="00EE3A11" w:rsidRPr="00C379C8" w:rsidP="00155128" w14:paraId="2C413DD9" w14:textId="77777777">
            <w:r w:rsidRPr="00C379C8">
              <w:t>P.O.BOX 7099, Kigali, Rwanda</w:t>
            </w:r>
          </w:p>
          <w:p w:rsidR="00EE3A11" w:rsidRPr="00C379C8" w:rsidP="00155128" w14:paraId="5DEE6ECB" w14:textId="77777777">
            <w:r w:rsidRPr="00C379C8">
              <w:t>Tel: +250 788303492</w:t>
            </w:r>
          </w:p>
          <w:p w:rsidR="00EE3A11" w:rsidRPr="00C379C8" w:rsidP="00155128" w14:paraId="1F1D4E18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155128" w14:paraId="4249BB39" w14:textId="77777777">
            <w:pPr>
              <w:spacing w:after="120"/>
            </w:pPr>
            <w:r w:rsidRPr="00C379C8">
              <w:t>Website: www.rsb.gov.rw</w:t>
            </w:r>
          </w:p>
          <w:p w:rsidR="00F85C99" w:rsidRPr="002F6A28" w:rsidP="00AA646C" w14:paraId="21A03EA5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340B201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D1B1A4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13CCD4C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D16168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9DC129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AC1EFB6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Processes in the food industry (ICS code(s): 67.020)</w:t>
            </w:r>
          </w:p>
        </w:tc>
      </w:tr>
      <w:tr w14:paraId="2481E65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36BD56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AE66A1E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Astaxanthin dietary supplement — Specification; (71 page(s), in English)</w:t>
            </w:r>
          </w:p>
        </w:tc>
      </w:tr>
      <w:tr w14:paraId="2574F49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66EE27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6F1B11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1.1 This Draft Rwanda Standard specifies requirements, sampling and test methods for Astaxanthin</w:t>
            </w:r>
            <w:r w:rsidRPr="00C379C8" w:rsidR="00FE448B">
              <w:softHyphen/>
              <w:t xml:space="preserve"> dietary supplement from yeast Astaxanthin </w:t>
            </w:r>
            <w:r w:rsidRPr="00C379C8" w:rsidR="00FE448B">
              <w:rPr>
                <w:i/>
                <w:iCs/>
              </w:rPr>
              <w:t>(Phaffia rhodozyma)</w:t>
            </w:r>
            <w:r w:rsidRPr="00C379C8" w:rsidR="00FE448B">
              <w:t xml:space="preserve"> or algae astaxanthin (</w:t>
            </w:r>
            <w:r w:rsidRPr="00C379C8" w:rsidR="00FE448B">
              <w:rPr>
                <w:i/>
                <w:iCs/>
              </w:rPr>
              <w:t>Haematococcus pluvialis</w:t>
            </w:r>
            <w:r w:rsidRPr="00C379C8" w:rsidR="00FE448B">
              <w:t>) intended for human consumption as antioxidant.</w:t>
            </w:r>
          </w:p>
          <w:p w:rsidR="00FE448B" w:rsidRPr="00C379C8" w:rsidP="002F6A28" w14:paraId="01228C81" w14:textId="77777777">
            <w:pPr>
              <w:spacing w:before="120" w:after="120"/>
            </w:pPr>
            <w:r w:rsidRPr="00C379C8">
              <w:t>1.2 This Standard does not cover foods for special dietary uses and Vitamin and mineral supplements covered in RS EAS 797 and Lipid food supplements covered in RS EAS 798.</w:t>
            </w:r>
          </w:p>
        </w:tc>
      </w:tr>
      <w:tr w14:paraId="78F7E17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2D8733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C8DDF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308E3F0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5890C80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45560B6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100795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923.03</w:t>
            </w:r>
            <w:r w:rsidRPr="002F6A28">
              <w:rPr>
                <w:i/>
                <w:iCs/>
              </w:rPr>
              <w:t>, Ash of Flour. Direct Method</w:t>
            </w:r>
          </w:p>
          <w:p w:rsidR="00EE3A11" w:rsidRPr="002F6A28" w:rsidP="007F13E8" w14:paraId="5A3BA8F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952.13</w:t>
            </w:r>
            <w:r w:rsidRPr="002F6A28">
              <w:rPr>
                <w:i/>
                <w:iCs/>
              </w:rPr>
              <w:t xml:space="preserve">, Arsenic in food. Silver </w:t>
            </w:r>
            <w:r w:rsidRPr="002F6A28">
              <w:rPr>
                <w:i/>
                <w:iCs/>
              </w:rPr>
              <w:t>diethyldithiocarbamate</w:t>
            </w:r>
          </w:p>
          <w:p w:rsidR="00EE3A11" w:rsidRPr="002F6A28" w:rsidP="007F13E8" w14:paraId="3DCCF11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971.21</w:t>
            </w:r>
            <w:r w:rsidRPr="002F6A28">
              <w:rPr>
                <w:i/>
                <w:iCs/>
              </w:rPr>
              <w:t>, Mercury in food. Flameless atomic absorption spectrophotometric method</w:t>
            </w:r>
          </w:p>
          <w:p w:rsidR="00EE3A11" w:rsidRPr="002F6A28" w:rsidP="007F13E8" w14:paraId="7A4969B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972.25</w:t>
            </w:r>
            <w:r w:rsidRPr="002F6A28">
              <w:rPr>
                <w:i/>
                <w:iCs/>
              </w:rPr>
              <w:t>, Lead in food. Atomic absorption spectrophotometric method</w:t>
            </w:r>
          </w:p>
          <w:p w:rsidR="00EE3A11" w:rsidRPr="002F6A28" w:rsidP="007F13E8" w14:paraId="6D68E54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973.34</w:t>
            </w:r>
            <w:r w:rsidRPr="002F6A28">
              <w:rPr>
                <w:i/>
                <w:iCs/>
              </w:rPr>
              <w:t>, Cadmium in food. Atomic absorption spectrophotometric method</w:t>
            </w:r>
          </w:p>
          <w:p w:rsidR="00EE3A11" w:rsidRPr="002F6A28" w:rsidP="007F13E8" w14:paraId="6C3081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2012.23</w:t>
            </w:r>
            <w:r w:rsidRPr="002F6A28">
              <w:rPr>
                <w:i/>
                <w:iCs/>
              </w:rPr>
              <w:t>, Total Antioxidant Activity Oxygen Radical Absorbance Capacity (ORAC) Using Fluorescein as the Fluorescence Probe</w:t>
            </w:r>
          </w:p>
          <w:p w:rsidR="00EE3A11" w:rsidRPr="002F6A28" w:rsidP="007F13E8" w14:paraId="1BF71B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CXG 10</w:t>
            </w:r>
            <w:r w:rsidRPr="002F6A28">
              <w:rPr>
                <w:i/>
                <w:iCs/>
              </w:rPr>
              <w:t xml:space="preserve">, Advisory lists of nutrient compounds for use in foods for special dietary uses intended for infants and young children </w:t>
            </w:r>
          </w:p>
          <w:p w:rsidR="00EE3A11" w:rsidRPr="002F6A28" w:rsidP="007F13E8" w14:paraId="71ED9D2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</w:t>
            </w:r>
            <w:r w:rsidRPr="002F6A28">
              <w:t>CXG 50</w:t>
            </w:r>
            <w:r w:rsidRPr="002F6A28">
              <w:rPr>
                <w:i/>
                <w:iCs/>
              </w:rPr>
              <w:t>, General guidelines on sampling</w:t>
            </w:r>
          </w:p>
          <w:p w:rsidR="00EE3A11" w:rsidRPr="002F6A28" w:rsidP="007F13E8" w14:paraId="43B3C5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CXS 192</w:t>
            </w:r>
            <w:r w:rsidRPr="002F6A28">
              <w:rPr>
                <w:i/>
                <w:iCs/>
              </w:rPr>
              <w:t>, General standard for food additives</w:t>
            </w:r>
          </w:p>
          <w:p w:rsidR="00EE3A11" w:rsidRPr="002F6A28" w:rsidP="007F13E8" w14:paraId="62B3614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</w:t>
            </w:r>
            <w:r w:rsidRPr="002F6A28">
              <w:rPr>
                <w:i/>
                <w:iCs/>
              </w:rPr>
              <w:t>, Labelling of pre-packaged foods — Specification</w:t>
            </w:r>
          </w:p>
          <w:p w:rsidR="00EE3A11" w:rsidRPr="002F6A28" w:rsidP="007F13E8" w14:paraId="16A7BC0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CXS 1</w:t>
            </w:r>
            <w:r w:rsidRPr="002F6A28">
              <w:rPr>
                <w:i/>
                <w:iCs/>
              </w:rPr>
              <w:t>, General Principles of Food Hygiene</w:t>
            </w:r>
          </w:p>
          <w:p w:rsidR="00EE3A11" w:rsidRPr="002F6A28" w:rsidP="007F13E8" w14:paraId="3BE648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803</w:t>
            </w:r>
            <w:r w:rsidRPr="002F6A28">
              <w:rPr>
                <w:i/>
                <w:iCs/>
              </w:rPr>
              <w:t>, Nutrition labelling — Requirements</w:t>
            </w:r>
          </w:p>
          <w:p w:rsidR="00EE3A11" w:rsidRPr="002F6A28" w:rsidP="007F13E8" w14:paraId="0C678BF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804,</w:t>
            </w:r>
            <w:r w:rsidRPr="002F6A28">
              <w:rPr>
                <w:i/>
                <w:iCs/>
              </w:rPr>
              <w:t xml:space="preserve"> Claims on foods — General Requirements</w:t>
            </w:r>
          </w:p>
          <w:p w:rsidR="00EE3A11" w:rsidRPr="002F6A28" w:rsidP="007F13E8" w14:paraId="7B7264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805</w:t>
            </w:r>
            <w:r w:rsidRPr="002F6A28">
              <w:rPr>
                <w:i/>
                <w:iCs/>
              </w:rPr>
              <w:t>, Use of nutritional and health claims — Requirement</w:t>
            </w:r>
          </w:p>
          <w:p w:rsidR="00EE3A11" w:rsidRPr="002F6A28" w:rsidP="007F13E8" w14:paraId="6E8AD6F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</w:t>
            </w:r>
            <w:r w:rsidRPr="002F6A28">
              <w:rPr>
                <w:i/>
                <w:iCs/>
              </w:rPr>
              <w:t>, Microbiology of the food chain — Horizontal method for the enumeration of microorganisms— Part 1: Colony count at 30 °C by the pour plate technique</w:t>
            </w:r>
          </w:p>
          <w:p w:rsidR="00EE3A11" w:rsidRPr="002F6A28" w:rsidP="007F13E8" w14:paraId="5F65AC5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4832</w:t>
            </w:r>
            <w:r w:rsidRPr="002F6A28">
              <w:rPr>
                <w:i/>
                <w:iCs/>
              </w:rPr>
              <w:t>, Microbiology of food and animal feeding stuffs — Horizontal method for the enumeration of coliforms — Colony-count technique</w:t>
            </w:r>
          </w:p>
          <w:p w:rsidR="00EE3A11" w:rsidRPr="002F6A28" w:rsidP="007F13E8" w14:paraId="5A91E4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</w:t>
            </w:r>
            <w:r w:rsidRPr="002F6A28">
              <w:rPr>
                <w:i/>
                <w:iCs/>
              </w:rPr>
              <w:t>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2A0403E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</w:t>
            </w:r>
            <w:r w:rsidRPr="002F6A28">
              <w:rPr>
                <w:i/>
                <w:iCs/>
              </w:rPr>
              <w:t>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7715ECC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11290-1</w:t>
            </w:r>
            <w:r w:rsidRPr="002F6A28">
              <w:rPr>
                <w:i/>
                <w:iCs/>
              </w:rPr>
              <w:t>, Microbiology of the food chain — Horizontal method for the detection and enumeration of Listeria monocytogenes and of Listeria spp. — Part 1: Detection method</w:t>
            </w:r>
          </w:p>
          <w:p w:rsidR="00EE3A11" w:rsidRPr="002F6A28" w:rsidP="007F13E8" w14:paraId="1F28D1C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12193,</w:t>
            </w:r>
            <w:r w:rsidRPr="002F6A28">
              <w:rPr>
                <w:i/>
                <w:iCs/>
              </w:rPr>
              <w:t xml:space="preserve"> Animal and vegetable fats and oils — Determination of lead by direct graphite furnace atomic absorption spectroscopy</w:t>
            </w:r>
          </w:p>
          <w:p w:rsidR="00EE3A11" w:rsidRPr="002F6A28" w:rsidP="007F13E8" w14:paraId="7C03959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21527-2</w:t>
            </w:r>
            <w:r w:rsidRPr="002F6A28">
              <w:rPr>
                <w:i/>
                <w:iCs/>
              </w:rPr>
              <w:t xml:space="preserve">, Microbiology of food and animal feeding stuffs — Horizontal method for the enumeration of yeasts and moulds — Part 2: Colony count technique in products with water activity less </w:t>
            </w:r>
            <w:r w:rsidRPr="002F6A28">
              <w:rPr>
                <w:i/>
                <w:iCs/>
              </w:rPr>
              <w:t>than or equal to 0.95</w:t>
            </w:r>
          </w:p>
        </w:tc>
      </w:tr>
      <w:tr w14:paraId="240DFDFA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C140D7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08554AA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B1C9F0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619CF6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7D5344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942E360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75C6F93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5737D54D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13FECE1B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3135A13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:rsidR="00EE3A11" w:rsidRPr="00A12DDE" w:rsidP="00B16145" w14:paraId="7175EEA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:rsidR="00EE3A11" w:rsidRPr="00A12DDE" w:rsidP="00B16145" w14:paraId="54506CC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:rsidR="00EE3A11" w:rsidRPr="00A12DDE" w:rsidP="00B16145" w14:paraId="2C6AFE4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:rsidR="00EE3A11" w:rsidRPr="00A12DDE" w:rsidP="00B16145" w14:paraId="1FA951F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:rsidR="00EE3A11" w:rsidRPr="00A12DDE" w:rsidP="00B16145" w14:paraId="3DBA53B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:rsidR="00EE3A11" w:rsidRPr="00A12DDE" w:rsidP="00B16145" w14:paraId="302A44E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:rsidR="00EE3A11" w:rsidRPr="00A12DDE" w:rsidP="00B16145" w14:paraId="60A35A2A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https://members.wto.org/crnattachments/2025/TBT/RWA/25_02476_00_e.pdf</w:t>
              </w:r>
            </w:hyperlink>
          </w:p>
        </w:tc>
      </w:tr>
    </w:tbl>
    <w:p w:rsidR="00EE3A11" w:rsidRPr="002F6A28" w:rsidP="002F6A28" w14:paraId="6D5290E8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8A10DB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4A8E58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311B1A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9252E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2795C8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4DF82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DA52CA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CA8D4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G/TBT/N/RWA/1181</w:t>
    </w:r>
    <w:bookmarkEnd w:id="0"/>
  </w:p>
  <w:p w:rsidR="009239F7" w:rsidRPr="002F6A28" w:rsidP="009239F7" w14:paraId="33FBA6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81E83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5BA420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235E0C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50E823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8A6CDE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EB9C43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7FDCFB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F15B47C" w14:textId="77777777">
          <w:pPr>
            <w:jc w:val="right"/>
            <w:rPr>
              <w:b/>
              <w:szCs w:val="16"/>
            </w:rPr>
          </w:pPr>
        </w:p>
      </w:tc>
    </w:tr>
    <w:tr w14:paraId="0B3B4A4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7A8B97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EE0A58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G/TBT/N/RWA/1181</w:t>
          </w:r>
          <w:bookmarkEnd w:id="2"/>
        </w:p>
      </w:tc>
    </w:tr>
    <w:tr w14:paraId="5F5CF24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C9DEAB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141AB7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26 March 2025</w:t>
          </w:r>
          <w:bookmarkEnd w:id="3"/>
          <w:bookmarkEnd w:id="4"/>
        </w:p>
      </w:tc>
    </w:tr>
    <w:tr w14:paraId="5B6228B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BC7E1D8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(25-2163)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E2FD09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AB2226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FC1CC7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8CE3AC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EDE02F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4080277">
    <w:abstractNumId w:val="9"/>
  </w:num>
  <w:num w:numId="2" w16cid:durableId="576481038">
    <w:abstractNumId w:val="7"/>
  </w:num>
  <w:num w:numId="3" w16cid:durableId="1069768637">
    <w:abstractNumId w:val="6"/>
  </w:num>
  <w:num w:numId="4" w16cid:durableId="418985547">
    <w:abstractNumId w:val="5"/>
  </w:num>
  <w:num w:numId="5" w16cid:durableId="1628002070">
    <w:abstractNumId w:val="4"/>
  </w:num>
  <w:num w:numId="6" w16cid:durableId="1336345619">
    <w:abstractNumId w:val="12"/>
  </w:num>
  <w:num w:numId="7" w16cid:durableId="428619778">
    <w:abstractNumId w:val="11"/>
  </w:num>
  <w:num w:numId="8" w16cid:durableId="1621953978">
    <w:abstractNumId w:val="10"/>
  </w:num>
  <w:num w:numId="9" w16cid:durableId="7610266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3861225">
    <w:abstractNumId w:val="13"/>
  </w:num>
  <w:num w:numId="11" w16cid:durableId="1762798107">
    <w:abstractNumId w:val="8"/>
  </w:num>
  <w:num w:numId="12" w16cid:durableId="2060398116">
    <w:abstractNumId w:val="3"/>
  </w:num>
  <w:num w:numId="13" w16cid:durableId="1951038049">
    <w:abstractNumId w:val="2"/>
  </w:num>
  <w:num w:numId="14" w16cid:durableId="535822902">
    <w:abstractNumId w:val="1"/>
  </w:num>
  <w:num w:numId="15" w16cid:durableId="626737253">
    <w:abstractNumId w:val="0"/>
  </w:num>
  <w:num w:numId="16" w16cid:durableId="14720934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82BD6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05C0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B471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70520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rsb.gov.rw" TargetMode="External" /><Relationship Id="rId6" Type="http://schemas.openxmlformats.org/officeDocument/2006/relationships/hyperlink" Target="https://members.wto.org/crnattachments/2025/TBT/RWA/25_02476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2025-03-26T10:01:00Z</dcterms:created>
  <dcterms:modified xsi:type="dcterms:W3CDTF">2025-03-26T10:01:00Z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