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7D230EE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5ABEDD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FD0CAC3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6A379C6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07FFA3B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753937B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2F1C42B3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13A0DFF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276F66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58D88E7C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06DF11A1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36B3F427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30AA4B85" w14:textId="77777777">
            <w:r w:rsidRPr="00C379C8">
              <w:t>Director General</w:t>
            </w:r>
          </w:p>
          <w:p w:rsidR="00AC6C6E" w:rsidRPr="00C379C8" w:rsidP="00AA646C" w14:paraId="101FEE82" w14:textId="77777777">
            <w:r w:rsidRPr="00C379C8">
              <w:t>Malawi Bureau of Standards</w:t>
            </w:r>
          </w:p>
          <w:p w:rsidR="00AC6C6E" w:rsidRPr="00C379C8" w:rsidP="00AA646C" w14:paraId="340DA5C1" w14:textId="77777777">
            <w:r w:rsidRPr="00C379C8">
              <w:t>P.O</w:t>
            </w:r>
            <w:r w:rsidRPr="00C379C8">
              <w:t xml:space="preserve"> Box 946</w:t>
            </w:r>
          </w:p>
          <w:p w:rsidR="00AC6C6E" w:rsidRPr="00C379C8" w:rsidP="00AA646C" w14:paraId="0A9C9D41" w14:textId="77777777">
            <w:r w:rsidRPr="00C379C8">
              <w:t>Blantyre</w:t>
            </w:r>
          </w:p>
          <w:p w:rsidR="00AC6C6E" w:rsidRPr="00C379C8" w:rsidP="00AA646C" w14:paraId="35498CAC" w14:textId="77777777">
            <w:r w:rsidRPr="00C379C8">
              <w:t>Malawi</w:t>
            </w:r>
          </w:p>
          <w:p w:rsidR="00AC6C6E" w:rsidRPr="00C379C8" w:rsidP="00AA646C" w14:paraId="61A675F4" w14:textId="77777777">
            <w:r w:rsidRPr="00C379C8">
              <w:t>Telephone:+265 887376444</w:t>
            </w:r>
          </w:p>
          <w:p w:rsidR="00AC6C6E" w:rsidRPr="0078473C" w:rsidP="00AA646C" w14:paraId="4A07F8D1" w14:textId="77777777">
            <w:pPr>
              <w:rPr>
                <w:lang w:val="fr-CH"/>
              </w:rPr>
            </w:pPr>
            <w:r w:rsidRPr="0078473C">
              <w:rPr>
                <w:lang w:val="fr-CH"/>
              </w:rPr>
              <w:t>Fax: +265 1 870 756</w:t>
            </w:r>
          </w:p>
          <w:p w:rsidR="00AC6C6E" w:rsidRPr="0078473C" w:rsidP="00AA646C" w14:paraId="2EE14856" w14:textId="77777777">
            <w:pPr>
              <w:spacing w:after="120"/>
              <w:rPr>
                <w:lang w:val="fr-CH"/>
              </w:rPr>
            </w:pPr>
            <w:r w:rsidRPr="0078473C">
              <w:rPr>
                <w:lang w:val="fr-CH"/>
              </w:rPr>
              <w:t xml:space="preserve">Email: </w:t>
            </w:r>
            <w:hyperlink r:id="rId6" w:history="1">
              <w:r w:rsidRPr="0078473C">
                <w:rPr>
                  <w:color w:val="0000FF"/>
                  <w:u w:val="single"/>
                  <w:lang w:val="fr-CH"/>
                </w:rPr>
                <w:t>info@mbsmw.org</w:t>
              </w:r>
            </w:hyperlink>
          </w:p>
        </w:tc>
      </w:tr>
      <w:tr w14:paraId="5753CF3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DBDB11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113FCACD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F106CC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54192C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FA7AFCE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r w:rsidRPr="002F6A28">
              <w:rPr>
                <w:b/>
              </w:rPr>
              <w:t>CCCN</w:t>
            </w:r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Pr="00C379C8" w:rsidR="00EE3A11">
              <w:t xml:space="preserve"> Saturated chlorinated derivatives of acyclic hydrocarbons (excl. chloromethane "methyl chloride", chloroethane "ethyl chloride", dichloromethane "methylene chloride", chloroform "trichloromethane", carbon tetrachloride and 1,2-dichloroethane "ethylene dichloride") (HS code(s): 290319); Chemicals for purification of water (ICS code(s): 71.100.80)</w:t>
            </w:r>
          </w:p>
        </w:tc>
      </w:tr>
      <w:tr w14:paraId="083DC17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42A846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E276440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91-7: 2024, Chemicals used for treatment of water intended for human consumption – Part 7: </w:t>
            </w:r>
            <w:r w:rsidRPr="00C379C8" w:rsidR="00EE3A11">
              <w:t>Polyaluminium</w:t>
            </w:r>
            <w:r w:rsidRPr="00C379C8" w:rsidR="00EE3A11">
              <w:t xml:space="preserve"> chloride hydroxide and </w:t>
            </w:r>
            <w:r w:rsidRPr="00C379C8" w:rsidR="00EE3A11">
              <w:t>polyaluminium</w:t>
            </w:r>
            <w:r w:rsidRPr="00C379C8" w:rsidR="00EE3A11">
              <w:t xml:space="preserve"> chloride hydroxide </w:t>
            </w:r>
            <w:r w:rsidRPr="00C379C8" w:rsidR="00EE3A11">
              <w:t>sulfate</w:t>
            </w:r>
            <w:r w:rsidRPr="00C379C8" w:rsidR="00EE3A11">
              <w:t>; (8 page(s), in English)</w:t>
            </w:r>
          </w:p>
        </w:tc>
      </w:tr>
      <w:tr w14:paraId="2902035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434DB3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ACB6C2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requirements and corresponding test methods for </w:t>
            </w:r>
            <w:r w:rsidRPr="00C379C8" w:rsidR="00FE448B">
              <w:t>polyaluminium</w:t>
            </w:r>
            <w:r w:rsidRPr="00C379C8" w:rsidR="00FE448B">
              <w:t xml:space="preserve"> chloride hydroxide and </w:t>
            </w:r>
            <w:r w:rsidRPr="00C379C8" w:rsidR="00FE448B">
              <w:t>polyaluminium</w:t>
            </w:r>
            <w:r w:rsidRPr="00C379C8" w:rsidR="00FE448B">
              <w:t xml:space="preserve"> chloride hydroxide </w:t>
            </w:r>
            <w:r w:rsidRPr="00C379C8" w:rsidR="00FE448B">
              <w:t>sulfate</w:t>
            </w:r>
            <w:r w:rsidRPr="00C379C8" w:rsidR="00FE448B">
              <w:t xml:space="preserve"> used for treatment of water intended for human consumption. It also determines the rules relating to safe handling (see Annex A).</w:t>
            </w:r>
          </w:p>
        </w:tc>
      </w:tr>
      <w:tr w14:paraId="4F0CF01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D4615C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4BDC3C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04D50DB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78473C" w14:paraId="3E6304FC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8473C" w14:paraId="77C30997" w14:textId="77777777">
            <w:pPr>
              <w:keepNext/>
              <w:keepLines/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8473C" w14:paraId="1053E217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169, </w:t>
            </w:r>
            <w:r w:rsidRPr="002F6A28">
              <w:rPr>
                <w:i/>
                <w:iCs/>
              </w:rPr>
              <w:t>Sampling of chemical products for industrial use – Safety in sampling</w:t>
            </w:r>
          </w:p>
          <w:p w:rsidR="00EE3A11" w:rsidRPr="002F6A28" w:rsidP="0078473C" w14:paraId="7D15461F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>MS 2079</w:t>
            </w:r>
            <w:r w:rsidRPr="002F6A28">
              <w:rPr>
                <w:i/>
                <w:iCs/>
              </w:rPr>
              <w:t>,</w:t>
            </w:r>
            <w:r w:rsidRPr="002F6A28">
              <w:t xml:space="preserve"> </w:t>
            </w:r>
            <w:r w:rsidRPr="002F6A28">
              <w:rPr>
                <w:i/>
                <w:iCs/>
              </w:rPr>
              <w:t>Water for analytical laboratory use – Specification and test methods</w:t>
            </w:r>
          </w:p>
          <w:p w:rsidR="00EE3A11" w:rsidRPr="002F6A28" w:rsidP="0078473C" w14:paraId="34301530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6206, </w:t>
            </w:r>
            <w:r w:rsidRPr="002F6A28">
              <w:rPr>
                <w:i/>
                <w:iCs/>
              </w:rPr>
              <w:t>Chemical products for industrial use – Sampling – Vocabulary.</w:t>
            </w:r>
          </w:p>
          <w:p w:rsidR="00EE3A11" w:rsidRPr="002F6A28" w:rsidP="0078473C" w14:paraId="33A9AB14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11885, </w:t>
            </w:r>
            <w:r w:rsidRPr="002F6A28">
              <w:rPr>
                <w:i/>
                <w:iCs/>
              </w:rPr>
              <w:t>Water quality – Determination of selected elements by inductively coupled plasma optical</w:t>
            </w:r>
          </w:p>
          <w:p w:rsidR="00EE3A11" w:rsidRPr="002F6A28" w:rsidP="0078473C" w14:paraId="0F14F38A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12846, </w:t>
            </w:r>
            <w:r w:rsidRPr="002F6A28">
              <w:rPr>
                <w:i/>
                <w:iCs/>
              </w:rPr>
              <w:t>Water quality – Determination of mercury – Method using atomic absorption spectrometry (AAS) with and without enrichment</w:t>
            </w:r>
          </w:p>
          <w:p w:rsidR="00EE3A11" w:rsidRPr="002F6A28" w:rsidP="0078473C" w14:paraId="31CF9D5F" w14:textId="77777777">
            <w:pPr>
              <w:keepNext/>
              <w:keepLines/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17378-2, </w:t>
            </w:r>
            <w:r w:rsidRPr="002F6A28">
              <w:rPr>
                <w:i/>
                <w:iCs/>
              </w:rPr>
              <w:t>Water quality – Determination of arsenic and antimony – Part 2: Method using hydride generation atomic absorption spectrometry (HG-AAS)</w:t>
            </w:r>
          </w:p>
        </w:tc>
      </w:tr>
      <w:tr w14:paraId="44902934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7C7D0FC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64D2683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6F588DB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D834B6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9897C3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A7033E2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347D265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50EF9FC1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13D08EF3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4308BFF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41B94FB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7D33989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</w:t>
            </w:r>
            <w:r w:rsidRPr="00A12DDE">
              <w:rPr>
                <w:bCs/>
              </w:rPr>
              <w:t xml:space="preserve"> Box 946</w:t>
            </w:r>
          </w:p>
          <w:p w:rsidR="00EE3A11" w:rsidRPr="00A12DDE" w:rsidP="00B16145" w14:paraId="3F71976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03CAD77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17B9944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:rsidR="00EE3A11" w:rsidRPr="0078473C" w:rsidP="00B16145" w14:paraId="457B2929" w14:textId="77777777">
            <w:pPr>
              <w:keepNext/>
              <w:keepLines/>
              <w:rPr>
                <w:bCs/>
                <w:lang w:val="fr-CH"/>
              </w:rPr>
            </w:pPr>
            <w:r w:rsidRPr="0078473C">
              <w:rPr>
                <w:bCs/>
                <w:lang w:val="fr-CH"/>
              </w:rPr>
              <w:t>Fax: +265 1 870 756</w:t>
            </w:r>
          </w:p>
          <w:p w:rsidR="00EE3A11" w:rsidRPr="0078473C" w:rsidP="00B16145" w14:paraId="20E6E5E9" w14:textId="77777777">
            <w:pPr>
              <w:keepNext/>
              <w:keepLines/>
              <w:rPr>
                <w:bCs/>
                <w:lang w:val="fr-CH"/>
              </w:rPr>
            </w:pPr>
            <w:r w:rsidRPr="0078473C">
              <w:rPr>
                <w:bCs/>
                <w:lang w:val="fr-CH"/>
              </w:rPr>
              <w:t xml:space="preserve">Email: </w:t>
            </w:r>
            <w:hyperlink r:id="rId6" w:history="1">
              <w:r w:rsidRPr="0078473C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:rsidR="00EE3A11" w:rsidRPr="0078473C" w:rsidP="00B16145" w14:paraId="550ED138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7" w:tgtFrame="_blank" w:history="1">
              <w:r w:rsidRPr="0078473C">
                <w:rPr>
                  <w:bCs/>
                  <w:color w:val="0000FF"/>
                  <w:u w:val="single"/>
                  <w:lang w:val="fr-CH"/>
                </w:rPr>
                <w:t>https://members.wto.org/crnattachments/2025/TBT/MWI/25_03847_00_e.pdf</w:t>
              </w:r>
            </w:hyperlink>
          </w:p>
        </w:tc>
      </w:tr>
    </w:tbl>
    <w:p w:rsidR="00EE3A11" w:rsidRPr="0078473C" w:rsidP="002F6A28" w14:paraId="4033A427" w14:textId="77777777">
      <w:pPr>
        <w:rPr>
          <w:lang w:val="fr-CH"/>
        </w:rPr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C9EA6A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1067CB4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D3F2AD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3D6B0A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E4353C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7F0D46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D1048B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A55B9E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MWI</w:t>
    </w:r>
    <w:r w:rsidRPr="002F6A28">
      <w:t>/210</w:t>
    </w:r>
    <w:bookmarkEnd w:id="0"/>
  </w:p>
  <w:p w:rsidR="009239F7" w:rsidRPr="002F6A28" w:rsidP="009239F7" w14:paraId="45CADCD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28613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CA3D36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0C8555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99A591C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1597AC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5A26E49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07F197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701A84E" w14:textId="77777777">
          <w:pPr>
            <w:jc w:val="right"/>
            <w:rPr>
              <w:b/>
              <w:szCs w:val="16"/>
            </w:rPr>
          </w:pPr>
        </w:p>
      </w:tc>
    </w:tr>
    <w:tr w14:paraId="4FDA2D5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36DB7F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3376995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MWI</w:t>
          </w:r>
          <w:r w:rsidRPr="002F6A28">
            <w:rPr>
              <w:b/>
              <w:szCs w:val="16"/>
            </w:rPr>
            <w:t>/210</w:t>
          </w:r>
          <w:bookmarkEnd w:id="2"/>
        </w:p>
      </w:tc>
    </w:tr>
    <w:tr w14:paraId="010554A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00AC6B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875247B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June 2025</w:t>
          </w:r>
          <w:bookmarkEnd w:id="3"/>
          <w:bookmarkEnd w:id="4"/>
        </w:p>
      </w:tc>
    </w:tr>
    <w:tr w14:paraId="21C5287E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48D8D91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(25-3815)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57CDA0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FF0A11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3AF3D78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4D5FA51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D61850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2270370">
    <w:abstractNumId w:val="9"/>
  </w:num>
  <w:num w:numId="2" w16cid:durableId="770510488">
    <w:abstractNumId w:val="7"/>
  </w:num>
  <w:num w:numId="3" w16cid:durableId="425806631">
    <w:abstractNumId w:val="6"/>
  </w:num>
  <w:num w:numId="4" w16cid:durableId="538782233">
    <w:abstractNumId w:val="5"/>
  </w:num>
  <w:num w:numId="5" w16cid:durableId="275866046">
    <w:abstractNumId w:val="4"/>
  </w:num>
  <w:num w:numId="6" w16cid:durableId="1041394606">
    <w:abstractNumId w:val="12"/>
  </w:num>
  <w:num w:numId="7" w16cid:durableId="194660182">
    <w:abstractNumId w:val="11"/>
  </w:num>
  <w:num w:numId="8" w16cid:durableId="201033">
    <w:abstractNumId w:val="10"/>
  </w:num>
  <w:num w:numId="9" w16cid:durableId="4281630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3617020">
    <w:abstractNumId w:val="13"/>
  </w:num>
  <w:num w:numId="11" w16cid:durableId="1700013550">
    <w:abstractNumId w:val="8"/>
  </w:num>
  <w:num w:numId="12" w16cid:durableId="1645621007">
    <w:abstractNumId w:val="3"/>
  </w:num>
  <w:num w:numId="13" w16cid:durableId="15035687">
    <w:abstractNumId w:val="2"/>
  </w:num>
  <w:num w:numId="14" w16cid:durableId="1037662216">
    <w:abstractNumId w:val="1"/>
  </w:num>
  <w:num w:numId="15" w16cid:durableId="666053836">
    <w:abstractNumId w:val="0"/>
  </w:num>
  <w:num w:numId="16" w16cid:durableId="18808219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21F7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A0C43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8473C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5AD0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4E71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11E70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C1268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mbsmw.org" TargetMode="External" /><Relationship Id="rId7" Type="http://schemas.openxmlformats.org/officeDocument/2006/relationships/hyperlink" Target="https://members.wto.org/crnattachments/2025/TBT/MWI/25_03847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5D9F65-8A46-4524-BE7C-CB6CC17614B3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Mermaz, Johann</cp:lastModifiedBy>
  <cp:revision>3</cp:revision>
  <dcterms:created xsi:type="dcterms:W3CDTF">2025-06-10T14:37:00Z</dcterms:created>
  <dcterms:modified xsi:type="dcterms:W3CDTF">2025-06-10T14:39:00Z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