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9C991C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4EAA7E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937571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A0270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B155DB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DB9AE3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675E5C2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633A31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9D16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76C2C4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BEBB07B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2BDE2EDC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5B86F0A" w14:textId="77777777">
            <w:r w:rsidRPr="00C379C8">
              <w:t>Director General</w:t>
            </w:r>
          </w:p>
          <w:p w:rsidR="00AC6C6E" w:rsidRPr="00C379C8" w:rsidP="00AA646C" w14:paraId="0F888031" w14:textId="77777777">
            <w:r w:rsidRPr="00C379C8">
              <w:t>Malawi Bureau of Standards</w:t>
            </w:r>
          </w:p>
          <w:p w:rsidR="00AC6C6E" w:rsidRPr="00C379C8" w:rsidP="00AA646C" w14:paraId="02AA9C11" w14:textId="77777777">
            <w:r w:rsidRPr="00C379C8">
              <w:t>P.O Box 946</w:t>
            </w:r>
          </w:p>
          <w:p w:rsidR="00AC6C6E" w:rsidRPr="00C379C8" w:rsidP="00AA646C" w14:paraId="6631D77E" w14:textId="77777777">
            <w:r w:rsidRPr="00C379C8">
              <w:t>Blantyre</w:t>
            </w:r>
          </w:p>
          <w:p w:rsidR="00AC6C6E" w:rsidRPr="00C379C8" w:rsidP="00AA646C" w14:paraId="2124FA22" w14:textId="77777777">
            <w:r w:rsidRPr="00C379C8">
              <w:t>Malawi</w:t>
            </w:r>
          </w:p>
          <w:p w:rsidR="00AC6C6E" w:rsidRPr="00C379C8" w:rsidP="00AA646C" w14:paraId="229CB069" w14:textId="77777777">
            <w:r w:rsidRPr="00C379C8">
              <w:t>Telephone:+265 887376444</w:t>
            </w:r>
          </w:p>
          <w:p w:rsidR="00AC6C6E" w:rsidRPr="00C379C8" w:rsidP="00AA646C" w14:paraId="70287F9D" w14:textId="77777777">
            <w:r w:rsidRPr="00C379C8">
              <w:t>Fax: +265 1 870 756</w:t>
            </w:r>
          </w:p>
          <w:p w:rsidR="00AC6C6E" w:rsidRPr="00C379C8" w:rsidP="00AA646C" w14:paraId="5CB49136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7BE528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04F8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7B0FCF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56EFB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4DE8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CDC79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ORGANIC CHEMICALS (HS code(s): 29); Paints and varnishes (ICS code(s): 87.040)</w:t>
            </w:r>
          </w:p>
        </w:tc>
      </w:tr>
      <w:tr w14:paraId="768629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A493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AD1BA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2189-3:2024, Auto-refinishing paint – Specification – Part 3: Two-Pack acrylic resin-based</w:t>
            </w:r>
          </w:p>
          <w:p w:rsidR="00EE3A11" w:rsidRPr="00C379C8" w:rsidP="002F6A28" w14:paraId="150B88A7" w14:textId="77777777">
            <w:pPr>
              <w:spacing w:before="120" w:after="120"/>
            </w:pPr>
            <w:r w:rsidRPr="00C379C8">
              <w:t>; (7 page(s), in English)</w:t>
            </w:r>
          </w:p>
        </w:tc>
      </w:tr>
      <w:tr w14:paraId="04B3D10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E40B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8A24D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2-Pack acrylic resin-based auto-refinishing paint.</w:t>
            </w:r>
          </w:p>
        </w:tc>
      </w:tr>
      <w:tr w14:paraId="310E139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67B9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355BC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4A0F77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41285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59FD63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FE8F3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276, </w:t>
            </w:r>
            <w:r w:rsidRPr="002F6A28">
              <w:rPr>
                <w:i/>
                <w:iCs/>
              </w:rPr>
              <w:t>Paints and vanishes – Determination of specular gloss of non-metallic paint films at 20°, 60° and 85°</w:t>
            </w:r>
          </w:p>
          <w:p w:rsidR="00EE3A11" w:rsidRPr="002F6A28" w:rsidP="007F13E8" w14:paraId="56DDC1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 xml:space="preserve">Paints and varnishes – </w:t>
            </w:r>
            <w:r w:rsidRPr="002F6A28">
              <w:rPr>
                <w:i/>
                <w:iCs/>
              </w:rPr>
              <w:t>Determination of total lead – Flame atomic absorption spectrometric method</w:t>
            </w:r>
          </w:p>
          <w:p w:rsidR="00EE3A11" w:rsidRPr="002F6A28" w:rsidP="007F13E8" w14:paraId="14462D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286, </w:t>
            </w:r>
            <w:r w:rsidRPr="002F6A28">
              <w:rPr>
                <w:i/>
                <w:iCs/>
              </w:rPr>
              <w:t>Paints and varnishes – Vocabulary</w:t>
            </w:r>
          </w:p>
          <w:p w:rsidR="00EE3A11" w:rsidRPr="002F6A28" w:rsidP="007F13E8" w14:paraId="634CA2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0DEFC8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1016-3, </w:t>
            </w:r>
            <w:r w:rsidRPr="002F6A28">
              <w:rPr>
                <w:i/>
                <w:iCs/>
              </w:rPr>
              <w:t>Paints and varnishes – Drying tests – Part 3: Surface-drying test using ballotini</w:t>
            </w:r>
          </w:p>
          <w:p w:rsidR="00EE3A11" w:rsidRPr="002F6A28" w:rsidP="007F13E8" w14:paraId="42F22C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1016-4, </w:t>
            </w:r>
            <w:r w:rsidRPr="002F6A28">
              <w:rPr>
                <w:i/>
                <w:iCs/>
              </w:rPr>
              <w:t>Paints and varnishes – Drying test – Part 4: Test using a mechanical recorder</w:t>
            </w:r>
          </w:p>
          <w:p w:rsidR="00EE3A11" w:rsidRPr="002F6A28" w:rsidP="007F13E8" w14:paraId="5FAE79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1034, </w:t>
            </w:r>
            <w:r w:rsidRPr="002F6A28">
              <w:rPr>
                <w:i/>
                <w:iCs/>
              </w:rPr>
              <w:t xml:space="preserve">Corrosion tests in artificial atmospheres – Salt spray tests </w:t>
            </w:r>
          </w:p>
          <w:p w:rsidR="00EE3A11" w:rsidRPr="002F6A28" w:rsidP="007F13E8" w14:paraId="436FCF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 xml:space="preserve">Paints, varnishes and raw materials for </w:t>
            </w:r>
            <w:r w:rsidRPr="002F6A28">
              <w:rPr>
                <w:i/>
                <w:iCs/>
              </w:rPr>
              <w:t>paints and varnishes – Sampling</w:t>
            </w:r>
          </w:p>
          <w:p w:rsidR="00EE3A11" w:rsidRPr="002F6A28" w:rsidP="007F13E8" w14:paraId="336B82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3E85FF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 xml:space="preserve">Paints and </w:t>
            </w:r>
            <w:r w:rsidRPr="002F6A28">
              <w:rPr>
                <w:i/>
                <w:iCs/>
              </w:rPr>
              <w:t>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3595F3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2114, </w:t>
            </w:r>
            <w:r w:rsidRPr="002F6A28">
              <w:rPr>
                <w:i/>
                <w:iCs/>
              </w:rPr>
              <w:t>Plastics (polyester resins) and paints and varnishes (binders) – Determination of partial acid value and total acid value</w:t>
            </w:r>
          </w:p>
          <w:p w:rsidR="00EE3A11" w:rsidRPr="002F6A28" w:rsidP="007F13E8" w14:paraId="549F0F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2884-1, </w:t>
            </w:r>
            <w:r w:rsidRPr="002F6A28">
              <w:rPr>
                <w:i/>
                <w:iCs/>
              </w:rPr>
              <w:t>Paints and varnishes – Determination of viscosity using rotary viscometers – Part 1: Cone-and-plate viscometer operated at a high rate of shear</w:t>
            </w:r>
          </w:p>
          <w:p w:rsidR="00EE3A11" w:rsidRPr="002F6A28" w:rsidP="007F13E8" w14:paraId="7528D2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2884-2,</w:t>
            </w:r>
            <w:r w:rsidRPr="002F6A28">
              <w:rPr>
                <w:i/>
                <w:iCs/>
              </w:rPr>
              <w:t xml:space="preserve"> Paints and varnishes — Determination of viscosity using rotary viscometers – Part 2: Disc or ball viscometer operated at a specified speed</w:t>
            </w:r>
          </w:p>
          <w:p w:rsidR="00EE3A11" w:rsidRPr="002F6A28" w:rsidP="007F13E8" w14:paraId="3A1DD8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3251, </w:t>
            </w:r>
            <w:r w:rsidRPr="002F6A28">
              <w:rPr>
                <w:i/>
                <w:iCs/>
              </w:rPr>
              <w:t xml:space="preserve">Paints varnishes and plastics – Determination of non- volatile matter content </w:t>
            </w:r>
          </w:p>
          <w:p w:rsidR="00EE3A11" w:rsidRPr="002F6A28" w:rsidP="007F13E8" w14:paraId="2613CA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6504-3, </w:t>
            </w:r>
            <w:r w:rsidRPr="002F6A28">
              <w:rPr>
                <w:i/>
                <w:iCs/>
              </w:rPr>
              <w:t>Paints and varnishes – Determination of hiding power – Part 3: Determination of hiding power of paints for masonry, concrete and interior use</w:t>
            </w:r>
          </w:p>
          <w:p w:rsidR="00EE3A11" w:rsidRPr="002F6A28" w:rsidP="007F13E8" w14:paraId="605524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9514, </w:t>
            </w:r>
            <w:r w:rsidRPr="002F6A28">
              <w:rPr>
                <w:i/>
                <w:iCs/>
              </w:rPr>
              <w:t>Paints and varnishes – Determination of the pot life of multicomponent coating systems – Preparation and conditioning of samples and guidelines for testing</w:t>
            </w:r>
          </w:p>
          <w:p w:rsidR="00EE3A11" w:rsidRPr="002F6A28" w:rsidP="007F13E8" w14:paraId="3D6AEC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15184, </w:t>
            </w:r>
            <w:r w:rsidRPr="002F6A28">
              <w:rPr>
                <w:i/>
                <w:iCs/>
              </w:rPr>
              <w:t>Paints and varnishes – Determination of film hardness by pencil test</w:t>
            </w:r>
          </w:p>
        </w:tc>
      </w:tr>
      <w:tr w14:paraId="46ED587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E7655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CBE68C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FC796B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7D14D6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68E9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D50298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F9C86D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393F7A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E90D68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583B5F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68E991E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639074A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37D8546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129F70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41F7006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:rsidR="00EE3A11" w:rsidRPr="00A12DDE" w:rsidP="00B16145" w14:paraId="3BD6DA4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3C8125A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418DFFD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https://members.wto.org/crnattachments/2025/TBT/MWI/25_03837_00_e.pdf</w:t>
              </w:r>
            </w:hyperlink>
          </w:p>
        </w:tc>
      </w:tr>
    </w:tbl>
    <w:p w:rsidR="00EE3A11" w:rsidRPr="002F6A28" w:rsidP="002F6A28" w14:paraId="32EEA91F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48FBC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8C5C3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F55414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1782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3FD43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619FD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E31D1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DBAA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G/TBT/N/MWI/200</w:t>
    </w:r>
    <w:bookmarkEnd w:id="0"/>
  </w:p>
  <w:p w:rsidR="009239F7" w:rsidRPr="002F6A28" w:rsidP="009239F7" w14:paraId="161AE8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4A73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046447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FED00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BF66E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DCBA8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7C87FB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2D639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537BFD" w14:textId="77777777">
          <w:pPr>
            <w:jc w:val="right"/>
            <w:rPr>
              <w:b/>
              <w:szCs w:val="16"/>
            </w:rPr>
          </w:pPr>
        </w:p>
      </w:tc>
    </w:tr>
    <w:tr w14:paraId="658FAC6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D84B0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1C3F4B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G/TBT/N/MWI/200</w:t>
          </w:r>
          <w:bookmarkEnd w:id="2"/>
        </w:p>
      </w:tc>
    </w:tr>
    <w:tr w14:paraId="166817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D6C84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CE679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55765E7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262B30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(25-3801)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79F9F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72533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912620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488BB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9428D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57765">
    <w:abstractNumId w:val="9"/>
  </w:num>
  <w:num w:numId="2" w16cid:durableId="2124881744">
    <w:abstractNumId w:val="7"/>
  </w:num>
  <w:num w:numId="3" w16cid:durableId="1939673717">
    <w:abstractNumId w:val="6"/>
  </w:num>
  <w:num w:numId="4" w16cid:durableId="792292581">
    <w:abstractNumId w:val="5"/>
  </w:num>
  <w:num w:numId="5" w16cid:durableId="1061440117">
    <w:abstractNumId w:val="4"/>
  </w:num>
  <w:num w:numId="6" w16cid:durableId="1871530550">
    <w:abstractNumId w:val="12"/>
  </w:num>
  <w:num w:numId="7" w16cid:durableId="1689602475">
    <w:abstractNumId w:val="11"/>
  </w:num>
  <w:num w:numId="8" w16cid:durableId="403188885">
    <w:abstractNumId w:val="10"/>
  </w:num>
  <w:num w:numId="9" w16cid:durableId="588465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4514623">
    <w:abstractNumId w:val="13"/>
  </w:num>
  <w:num w:numId="11" w16cid:durableId="1515454471">
    <w:abstractNumId w:val="8"/>
  </w:num>
  <w:num w:numId="12" w16cid:durableId="840463852">
    <w:abstractNumId w:val="3"/>
  </w:num>
  <w:num w:numId="13" w16cid:durableId="1893928902">
    <w:abstractNumId w:val="2"/>
  </w:num>
  <w:num w:numId="14" w16cid:durableId="1171069887">
    <w:abstractNumId w:val="1"/>
  </w:num>
  <w:num w:numId="15" w16cid:durableId="1627467518">
    <w:abstractNumId w:val="0"/>
  </w:num>
  <w:num w:numId="16" w16cid:durableId="1341156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244C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30A6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791A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AC7EF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37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2025-06-10T14:25:00Z</dcterms:created>
  <dcterms:modified xsi:type="dcterms:W3CDTF">2025-06-10T14:25:00Z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