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262802F" w14:textId="77777777">
      <w:pPr>
        <w:pStyle w:val="Title"/>
        <w:rPr>
          <w:caps w:val="0"/>
          <w:kern w:val="0"/>
        </w:rPr>
      </w:pPr>
      <w:r w:rsidRPr="002F6A28">
        <w:rPr>
          <w:caps w:val="0"/>
          <w:kern w:val="0"/>
        </w:rPr>
        <w:t>NOTIFICATION</w:t>
      </w:r>
    </w:p>
    <w:p w:rsidR="009239F7" w:rsidRPr="002F6A28" w:rsidP="002F6A28" w14:paraId="27DC6E0E" w14:textId="77777777">
      <w:pPr>
        <w:jc w:val="center"/>
      </w:pPr>
      <w:r w:rsidRPr="002F6A28">
        <w:t>The following notification is being circulated in accordance with Article 10.6</w:t>
      </w:r>
    </w:p>
    <w:p w:rsidR="009239F7" w:rsidRPr="002F6A28" w:rsidP="002F6A28" w14:paraId="4E76E6E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0491C3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285014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38E3CE9"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02C37AC2" w14:textId="77777777">
            <w:pPr>
              <w:spacing w:after="120"/>
            </w:pPr>
            <w:r w:rsidRPr="002F6A28">
              <w:rPr>
                <w:b/>
              </w:rPr>
              <w:t>If applicable, name of local government involved (Article 3.2 and 7.2):</w:t>
            </w:r>
            <w:r w:rsidRPr="00C379C8" w:rsidR="00EE3A11">
              <w:t xml:space="preserve"> </w:t>
            </w:r>
          </w:p>
        </w:tc>
      </w:tr>
      <w:tr w14:paraId="7FCAB7D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FCC95F2"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6A12A39" w14:textId="77777777">
            <w:pPr>
              <w:spacing w:before="120" w:after="120"/>
            </w:pPr>
            <w:r w:rsidRPr="002F6A28">
              <w:rPr>
                <w:b/>
              </w:rPr>
              <w:t>Agency responsible:</w:t>
            </w:r>
            <w:r w:rsidRPr="00C379C8" w:rsidR="00EE3A11">
              <w:t xml:space="preserve"> </w:t>
            </w:r>
          </w:p>
          <w:p w:rsidR="00EE3A11" w:rsidRPr="00C379C8" w:rsidP="00155128" w14:paraId="7FDDA738" w14:textId="77777777">
            <w:pPr>
              <w:spacing w:after="120"/>
            </w:pPr>
            <w:r w:rsidRPr="00C379C8">
              <w:t>Malawi Bureau of Standards</w:t>
            </w:r>
          </w:p>
          <w:p w:rsidR="00F85C99" w:rsidRPr="002F6A28" w:rsidP="00AA646C" w14:paraId="7564F95D"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3DBF65E3" w14:textId="77777777">
            <w:r w:rsidRPr="00C379C8">
              <w:t>Director General</w:t>
            </w:r>
          </w:p>
          <w:p w:rsidR="00AC6C6E" w:rsidRPr="00C379C8" w:rsidP="00AA646C" w14:paraId="72B48E1A" w14:textId="77777777">
            <w:r w:rsidRPr="00C379C8">
              <w:t>Malawi Bureau of Standards</w:t>
            </w:r>
          </w:p>
          <w:p w:rsidR="00AC6C6E" w:rsidRPr="00C379C8" w:rsidP="00AA646C" w14:paraId="13BC7714" w14:textId="77777777">
            <w:r w:rsidRPr="00C379C8">
              <w:t>P.O Box 946</w:t>
            </w:r>
          </w:p>
          <w:p w:rsidR="00AC6C6E" w:rsidRPr="00C379C8" w:rsidP="00AA646C" w14:paraId="40310904" w14:textId="77777777">
            <w:r w:rsidRPr="00C379C8">
              <w:t>Blantyre</w:t>
            </w:r>
          </w:p>
          <w:p w:rsidR="00AC6C6E" w:rsidRPr="00C379C8" w:rsidP="00AA646C" w14:paraId="3433B49F" w14:textId="77777777">
            <w:r w:rsidRPr="00C379C8">
              <w:t>Malawi</w:t>
            </w:r>
          </w:p>
          <w:p w:rsidR="00AC6C6E" w:rsidRPr="00C379C8" w:rsidP="00AA646C" w14:paraId="3EA50D41" w14:textId="77777777">
            <w:r w:rsidRPr="00C379C8">
              <w:t>Telephone:+265 887376444</w:t>
            </w:r>
          </w:p>
          <w:p w:rsidR="00AC6C6E" w:rsidRPr="00C379C8" w:rsidP="00AA646C" w14:paraId="5CFA5A1E" w14:textId="77777777">
            <w:r w:rsidRPr="00C379C8">
              <w:t>Fax: +265 1 870 756</w:t>
            </w:r>
          </w:p>
          <w:p w:rsidR="00AC6C6E" w:rsidRPr="00C379C8" w:rsidP="00AA646C" w14:paraId="0B601322" w14:textId="77777777">
            <w:pPr>
              <w:spacing w:after="120"/>
            </w:pPr>
            <w:r w:rsidRPr="00C379C8">
              <w:t xml:space="preserve">Email: </w:t>
            </w:r>
            <w:hyperlink r:id="rId5" w:history="1">
              <w:r w:rsidRPr="00C379C8">
                <w:rPr>
                  <w:color w:val="0000FF"/>
                  <w:u w:val="single"/>
                </w:rPr>
                <w:t>info@mbsmw.org</w:t>
              </w:r>
            </w:hyperlink>
          </w:p>
        </w:tc>
      </w:tr>
      <w:tr w14:paraId="629037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FBD806"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E9B301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D1DE0A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1A26163"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D7F0634"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ARTICLES OF IRON OR STEEL (HS code(s): 73); Steels for reinforcement of concrete (ICS code(s): 77.140.15)</w:t>
            </w:r>
          </w:p>
        </w:tc>
      </w:tr>
      <w:tr w14:paraId="1DF7B6F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E40C98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681005D" w14:textId="77777777">
            <w:pPr>
              <w:spacing w:before="120" w:after="120"/>
            </w:pPr>
            <w:r w:rsidRPr="002F6A28">
              <w:rPr>
                <w:b/>
              </w:rPr>
              <w:t>Title, number of pages and language(s) of the notified document:</w:t>
            </w:r>
            <w:r w:rsidRPr="00C379C8" w:rsidR="00EE3A11">
              <w:t xml:space="preserve"> DMS 2169:2024, Hexagonal steel wire mesh gabions and revet mattresses; (11 page(s), in English)</w:t>
            </w:r>
          </w:p>
        </w:tc>
      </w:tr>
      <w:tr w14:paraId="7B2F29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331100"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91FFCBA" w14:textId="77777777">
            <w:pPr>
              <w:spacing w:before="120" w:after="120"/>
              <w:rPr>
                <w:b/>
              </w:rPr>
            </w:pPr>
            <w:r w:rsidRPr="002F6A28">
              <w:rPr>
                <w:b/>
              </w:rPr>
              <w:t>Description of content:</w:t>
            </w:r>
            <w:r w:rsidRPr="00C379C8" w:rsidR="00FE448B">
              <w:t xml:space="preserve"> This draft Malawi Standard specifies the characteristics of steel wire gabion cages of hexagonal woven wire mesh (that are to be used as gabions when filled with stones) and revet mattresses.</w:t>
            </w:r>
          </w:p>
        </w:tc>
      </w:tr>
      <w:tr w14:paraId="75CE922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4DCF71"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31C0A93"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animal or plant life or health; Quality requirements; Reducing trade barriers and facilitating trade</w:t>
            </w:r>
          </w:p>
        </w:tc>
      </w:tr>
      <w:tr w14:paraId="6CF6C21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0C9B976"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25DCAEDF" w14:textId="77777777">
            <w:pPr>
              <w:spacing w:before="120" w:after="120"/>
              <w:rPr>
                <w:bCs/>
              </w:rPr>
            </w:pPr>
            <w:r w:rsidRPr="002F6A28">
              <w:rPr>
                <w:b/>
              </w:rPr>
              <w:t>Relevant documents:</w:t>
            </w:r>
            <w:r w:rsidRPr="002F6A28" w:rsidR="00EE3A11">
              <w:t xml:space="preserve"> </w:t>
            </w:r>
          </w:p>
          <w:p w:rsidR="00EE3A11" w:rsidRPr="002F6A28" w:rsidP="007F13E8" w14:paraId="1E2D7409" w14:textId="77777777">
            <w:pPr>
              <w:numPr>
                <w:ilvl w:val="0"/>
                <w:numId w:val="16"/>
              </w:numPr>
              <w:spacing w:before="120" w:after="120"/>
            </w:pPr>
            <w:r w:rsidRPr="002F6A28">
              <w:t>MS 321, Zinc-coated fencing wire.</w:t>
            </w:r>
          </w:p>
          <w:p w:rsidR="00EE3A11" w:rsidRPr="002F6A28" w:rsidP="007F13E8" w14:paraId="50C93AA3" w14:textId="77777777">
            <w:pPr>
              <w:numPr>
                <w:ilvl w:val="0"/>
                <w:numId w:val="16"/>
              </w:numPr>
              <w:spacing w:before="120" w:after="120"/>
            </w:pPr>
            <w:r w:rsidRPr="002F6A28">
              <w:t xml:space="preserve">ASTM A 856/A 856M, Standard </w:t>
            </w:r>
            <w:r w:rsidRPr="002F6A28">
              <w:t>specification for zinc-5% aluminium-mischmetal alloy-coated carbon steel wire.</w:t>
            </w:r>
          </w:p>
          <w:p w:rsidR="00EE3A11" w:rsidRPr="002F6A28" w:rsidP="007F13E8" w14:paraId="52DB4FFD" w14:textId="77777777">
            <w:pPr>
              <w:numPr>
                <w:ilvl w:val="0"/>
                <w:numId w:val="16"/>
              </w:numPr>
              <w:spacing w:before="120" w:after="120"/>
            </w:pPr>
            <w:r w:rsidRPr="002F6A28">
              <w:t>ASTM A 975, Standard specification for double-twisted hexagonal mesh gabions and revet mattresses (metallic-coated steel wire or metallic-coated steel wire with poly(vinyl chloride) (PVC) coating).</w:t>
            </w:r>
          </w:p>
          <w:p w:rsidR="00EE3A11" w:rsidRPr="002F6A28" w:rsidP="007F13E8" w14:paraId="42986F68" w14:textId="77777777">
            <w:pPr>
              <w:numPr>
                <w:ilvl w:val="0"/>
                <w:numId w:val="16"/>
              </w:numPr>
              <w:spacing w:before="120" w:after="120"/>
            </w:pPr>
            <w:r w:rsidRPr="002F6A28">
              <w:t>ASTM G 153, Standard practice for operating enclosed carbon arc light apparatus for exposure of nonmetallic materials.</w:t>
            </w:r>
          </w:p>
        </w:tc>
      </w:tr>
      <w:tr w14:paraId="2957B1D1"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181005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CF6D98D" w14:textId="77777777">
            <w:pPr>
              <w:spacing w:before="120" w:after="120"/>
            </w:pPr>
            <w:r w:rsidRPr="002F6A28">
              <w:rPr>
                <w:b/>
              </w:rPr>
              <w:t>Proposed date of adoption:</w:t>
            </w:r>
            <w:r w:rsidRPr="00C379C8">
              <w:t xml:space="preserve"> To be determined</w:t>
            </w:r>
          </w:p>
          <w:p w:rsidR="00EE3A11" w:rsidRPr="002F6A28" w:rsidP="008953C4" w14:paraId="0504EF29" w14:textId="77777777">
            <w:pPr>
              <w:spacing w:after="120"/>
            </w:pPr>
            <w:r w:rsidRPr="002F6A28">
              <w:rPr>
                <w:b/>
              </w:rPr>
              <w:t>Proposed date of entry into force:</w:t>
            </w:r>
            <w:r w:rsidRPr="00C379C8">
              <w:t xml:space="preserve"> To be determined</w:t>
            </w:r>
          </w:p>
        </w:tc>
      </w:tr>
      <w:tr w14:paraId="71B5BDE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44D6210"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7B7D010" w14:textId="77777777">
            <w:pPr>
              <w:spacing w:before="120" w:after="120"/>
            </w:pPr>
            <w:r w:rsidRPr="002F6A28">
              <w:rPr>
                <w:b/>
              </w:rPr>
              <w:t xml:space="preserve">Final </w:t>
            </w:r>
            <w:r w:rsidRPr="002F6A28">
              <w:rPr>
                <w:b/>
              </w:rPr>
              <w:t>date for comments:</w:t>
            </w:r>
            <w:r w:rsidRPr="00C379C8" w:rsidR="00EE3A11">
              <w:t xml:space="preserve"> 60 days from notification</w:t>
            </w:r>
          </w:p>
        </w:tc>
      </w:tr>
      <w:tr w14:paraId="270B0FC6"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442C9FD"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14BD9FB"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5F661AE" w14:textId="77777777">
            <w:pPr>
              <w:keepNext/>
              <w:keepLines/>
              <w:rPr>
                <w:bCs/>
              </w:rPr>
            </w:pPr>
            <w:r w:rsidRPr="00A12DDE">
              <w:rPr>
                <w:bCs/>
              </w:rPr>
              <w:t>Director General</w:t>
            </w:r>
          </w:p>
          <w:p w:rsidR="00EE3A11" w:rsidRPr="00A12DDE" w:rsidP="00B16145" w14:paraId="580E0E7A" w14:textId="77777777">
            <w:pPr>
              <w:keepNext/>
              <w:keepLines/>
              <w:rPr>
                <w:bCs/>
              </w:rPr>
            </w:pPr>
            <w:r w:rsidRPr="00A12DDE">
              <w:rPr>
                <w:bCs/>
              </w:rPr>
              <w:t>Malawi Bureau of Standards</w:t>
            </w:r>
          </w:p>
          <w:p w:rsidR="00EE3A11" w:rsidRPr="00A12DDE" w:rsidP="00B16145" w14:paraId="2E4E35FD" w14:textId="77777777">
            <w:pPr>
              <w:keepNext/>
              <w:keepLines/>
              <w:rPr>
                <w:bCs/>
              </w:rPr>
            </w:pPr>
            <w:r w:rsidRPr="00A12DDE">
              <w:rPr>
                <w:bCs/>
              </w:rPr>
              <w:t xml:space="preserve">P.O Box </w:t>
            </w:r>
            <w:r w:rsidRPr="00A12DDE">
              <w:rPr>
                <w:bCs/>
              </w:rPr>
              <w:t>946</w:t>
            </w:r>
          </w:p>
          <w:p w:rsidR="00EE3A11" w:rsidRPr="00A12DDE" w:rsidP="00B16145" w14:paraId="0979F252" w14:textId="77777777">
            <w:pPr>
              <w:keepNext/>
              <w:keepLines/>
              <w:rPr>
                <w:bCs/>
              </w:rPr>
            </w:pPr>
            <w:r w:rsidRPr="00A12DDE">
              <w:rPr>
                <w:bCs/>
              </w:rPr>
              <w:t>Blantyre</w:t>
            </w:r>
          </w:p>
          <w:p w:rsidR="00EE3A11" w:rsidRPr="00A12DDE" w:rsidP="00B16145" w14:paraId="2651EB3D" w14:textId="77777777">
            <w:pPr>
              <w:keepNext/>
              <w:keepLines/>
              <w:rPr>
                <w:bCs/>
              </w:rPr>
            </w:pPr>
            <w:r w:rsidRPr="00A12DDE">
              <w:rPr>
                <w:bCs/>
              </w:rPr>
              <w:t>Malawi</w:t>
            </w:r>
          </w:p>
          <w:p w:rsidR="00EE3A11" w:rsidRPr="00A12DDE" w:rsidP="00B16145" w14:paraId="2FBA4686" w14:textId="77777777">
            <w:pPr>
              <w:keepNext/>
              <w:keepLines/>
              <w:rPr>
                <w:bCs/>
              </w:rPr>
            </w:pPr>
            <w:r w:rsidRPr="00A12DDE">
              <w:rPr>
                <w:bCs/>
              </w:rPr>
              <w:t>Telephone:+265 887376444</w:t>
            </w:r>
          </w:p>
          <w:p w:rsidR="00EE3A11" w:rsidRPr="00A12DDE" w:rsidP="00B16145" w14:paraId="18304179" w14:textId="77777777">
            <w:pPr>
              <w:keepNext/>
              <w:keepLines/>
              <w:rPr>
                <w:bCs/>
              </w:rPr>
            </w:pPr>
            <w:r w:rsidRPr="00A12DDE">
              <w:rPr>
                <w:bCs/>
              </w:rPr>
              <w:t>Fax: +265 1 870 756</w:t>
            </w:r>
          </w:p>
          <w:p w:rsidR="00EE3A11" w:rsidRPr="00A12DDE" w:rsidP="00B16145" w14:paraId="0E4C7AAE" w14:textId="77777777">
            <w:pPr>
              <w:keepNext/>
              <w:keepLines/>
              <w:spacing w:after="120"/>
              <w:rPr>
                <w:bCs/>
              </w:rPr>
            </w:pPr>
            <w:r w:rsidRPr="00A12DDE">
              <w:rPr>
                <w:bCs/>
              </w:rPr>
              <w:t xml:space="preserve">Email: </w:t>
            </w:r>
            <w:hyperlink r:id="rId5" w:history="1">
              <w:r w:rsidRPr="00A12DDE">
                <w:rPr>
                  <w:bCs/>
                  <w:color w:val="0000FF"/>
                  <w:u w:val="single"/>
                </w:rPr>
                <w:t>info@mbsmw.org</w:t>
              </w:r>
            </w:hyperlink>
          </w:p>
        </w:tc>
      </w:tr>
    </w:tbl>
    <w:p w:rsidR="00EE3A11" w:rsidRPr="002F6A28" w:rsidP="002F6A28" w14:paraId="6E68D8FF" w14:textId="77777777"/>
    <w:sectPr w:rsidSect="00760DB3">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BD5FB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30C0BF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1E1BE6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57D9381" w14:textId="77777777">
    <w:pPr>
      <w:pStyle w:val="Header"/>
      <w:pBdr>
        <w:bottom w:val="single" w:sz="4" w:space="1" w:color="auto"/>
      </w:pBdr>
      <w:tabs>
        <w:tab w:val="clear" w:pos="4513"/>
        <w:tab w:val="clear" w:pos="9027"/>
      </w:tabs>
      <w:jc w:val="center"/>
    </w:pPr>
    <w:r w:rsidRPr="002F6A28">
      <w:t>tbtSymbol</w:t>
    </w:r>
  </w:p>
  <w:p w:rsidR="009239F7" w:rsidRPr="002F6A28" w:rsidP="009239F7" w14:paraId="0D906B25" w14:textId="77777777">
    <w:pPr>
      <w:pStyle w:val="Header"/>
      <w:pBdr>
        <w:bottom w:val="single" w:sz="4" w:space="1" w:color="auto"/>
      </w:pBdr>
      <w:tabs>
        <w:tab w:val="clear" w:pos="4513"/>
        <w:tab w:val="clear" w:pos="9027"/>
      </w:tabs>
      <w:jc w:val="center"/>
    </w:pPr>
  </w:p>
  <w:p w:rsidR="009239F7" w:rsidRPr="002F6A28" w:rsidP="009239F7" w14:paraId="786B35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3F1094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B3EF8EF" w14:textId="77777777">
    <w:pPr>
      <w:pStyle w:val="Header"/>
      <w:pBdr>
        <w:bottom w:val="single" w:sz="4" w:space="1" w:color="auto"/>
      </w:pBdr>
      <w:tabs>
        <w:tab w:val="clear" w:pos="4513"/>
        <w:tab w:val="clear" w:pos="9027"/>
      </w:tabs>
      <w:jc w:val="center"/>
    </w:pPr>
    <w:bookmarkStart w:id="0" w:name="spsSymbolHeader"/>
    <w:r w:rsidRPr="002F6A28">
      <w:t>G/TBT/N/MWI/175</w:t>
    </w:r>
    <w:bookmarkEnd w:id="0"/>
  </w:p>
  <w:p w:rsidR="009239F7" w:rsidRPr="002F6A28" w:rsidP="009239F7" w14:paraId="59E0B3AD" w14:textId="77777777">
    <w:pPr>
      <w:pStyle w:val="Header"/>
      <w:pBdr>
        <w:bottom w:val="single" w:sz="4" w:space="1" w:color="auto"/>
      </w:pBdr>
      <w:tabs>
        <w:tab w:val="clear" w:pos="4513"/>
        <w:tab w:val="clear" w:pos="9027"/>
      </w:tabs>
      <w:jc w:val="center"/>
    </w:pPr>
  </w:p>
  <w:p w:rsidR="009239F7" w:rsidRPr="002F6A28" w:rsidP="009239F7" w14:paraId="1C59DF4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ED82C3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0DF390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32B19C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788A99A" w14:textId="77777777">
          <w:pPr>
            <w:jc w:val="right"/>
            <w:rPr>
              <w:b/>
              <w:color w:val="FF0000"/>
              <w:szCs w:val="16"/>
            </w:rPr>
          </w:pPr>
        </w:p>
      </w:tc>
    </w:tr>
    <w:bookmarkEnd w:id="1"/>
    <w:tr w14:paraId="5C561BC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E9AE72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7A3A74D" w14:textId="77777777">
          <w:pPr>
            <w:jc w:val="right"/>
            <w:rPr>
              <w:b/>
              <w:szCs w:val="16"/>
            </w:rPr>
          </w:pPr>
        </w:p>
      </w:tc>
    </w:tr>
    <w:tr w14:paraId="0F7038E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E745CD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11B4D46" w14:textId="77777777">
          <w:pPr>
            <w:jc w:val="right"/>
            <w:rPr>
              <w:b/>
              <w:szCs w:val="16"/>
            </w:rPr>
          </w:pPr>
          <w:bookmarkStart w:id="2" w:name="bmkSymbols"/>
          <w:r w:rsidRPr="002F6A28">
            <w:rPr>
              <w:b/>
              <w:szCs w:val="16"/>
            </w:rPr>
            <w:t>G/TBT/N/MWI/175</w:t>
          </w:r>
          <w:bookmarkEnd w:id="2"/>
        </w:p>
      </w:tc>
    </w:tr>
    <w:tr w14:paraId="43AB31D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F436116" w14:textId="77777777"/>
      </w:tc>
      <w:tc>
        <w:tcPr>
          <w:tcW w:w="5448" w:type="dxa"/>
          <w:gridSpan w:val="2"/>
          <w:shd w:val="clear" w:color="auto" w:fill="FFFFFF"/>
          <w:tcMar>
            <w:left w:w="108" w:type="dxa"/>
            <w:right w:w="108" w:type="dxa"/>
          </w:tcMar>
          <w:vAlign w:val="center"/>
        </w:tcPr>
        <w:p w:rsidR="00ED54E0" w:rsidRPr="009239F7" w:rsidP="00B801E9" w14:paraId="36F081AA" w14:textId="77777777">
          <w:pPr>
            <w:jc w:val="right"/>
            <w:rPr>
              <w:szCs w:val="16"/>
            </w:rPr>
          </w:pPr>
          <w:bookmarkStart w:id="3" w:name="spsDateDistribution"/>
          <w:bookmarkStart w:id="4" w:name="bmkDate"/>
          <w:r w:rsidRPr="009239F7">
            <w:rPr>
              <w:szCs w:val="16"/>
            </w:rPr>
            <w:t>12 May 2025</w:t>
          </w:r>
          <w:bookmarkEnd w:id="3"/>
          <w:bookmarkEnd w:id="4"/>
        </w:p>
      </w:tc>
    </w:tr>
    <w:tr w14:paraId="58A90A0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9A50D0F" w14:textId="77777777">
          <w:pPr>
            <w:jc w:val="left"/>
            <w:rPr>
              <w:b/>
            </w:rPr>
          </w:pPr>
          <w:bookmarkStart w:id="5" w:name="bmkSerial"/>
          <w:r>
            <w:rPr>
              <w:b w:val="0"/>
              <w:color w:val="FF0000"/>
            </w:rPr>
            <w:t>(25-3157)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BF2B22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52B43B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7F2D7F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A539FE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7D12C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3656633">
    <w:abstractNumId w:val="9"/>
  </w:num>
  <w:num w:numId="2" w16cid:durableId="1598559728">
    <w:abstractNumId w:val="7"/>
  </w:num>
  <w:num w:numId="3" w16cid:durableId="1188912434">
    <w:abstractNumId w:val="6"/>
  </w:num>
  <w:num w:numId="4" w16cid:durableId="1796485424">
    <w:abstractNumId w:val="5"/>
  </w:num>
  <w:num w:numId="5" w16cid:durableId="462624036">
    <w:abstractNumId w:val="4"/>
  </w:num>
  <w:num w:numId="6" w16cid:durableId="1637756670">
    <w:abstractNumId w:val="12"/>
  </w:num>
  <w:num w:numId="7" w16cid:durableId="1149176932">
    <w:abstractNumId w:val="11"/>
  </w:num>
  <w:num w:numId="8" w16cid:durableId="1394545950">
    <w:abstractNumId w:val="10"/>
  </w:num>
  <w:num w:numId="9" w16cid:durableId="1974407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1600118">
    <w:abstractNumId w:val="13"/>
  </w:num>
  <w:num w:numId="11" w16cid:durableId="1015575245">
    <w:abstractNumId w:val="8"/>
  </w:num>
  <w:num w:numId="12" w16cid:durableId="1835416543">
    <w:abstractNumId w:val="3"/>
  </w:num>
  <w:num w:numId="13" w16cid:durableId="919828190">
    <w:abstractNumId w:val="2"/>
  </w:num>
  <w:num w:numId="14" w16cid:durableId="1979065389">
    <w:abstractNumId w:val="1"/>
  </w:num>
  <w:num w:numId="15" w16cid:durableId="849103940">
    <w:abstractNumId w:val="0"/>
  </w:num>
  <w:num w:numId="16" w16cid:durableId="1780877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19B"/>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66CBE"/>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72A"/>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D90B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2025-05-12T08:16:00Z</dcterms:created>
  <dcterms:modified xsi:type="dcterms:W3CDTF">2025-05-12T08:16:00Z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