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406E7102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67F224BA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4F77ECF4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54EA6EC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46CA305F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55AE7D49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KENYA</w:t>
            </w:r>
          </w:p>
          <w:p w:rsidR="00F85C99" w:rsidRPr="002F6A28" w:rsidP="002F6A28" w14:paraId="22092C05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298A957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0A842D3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12186887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4D6ECEA5" w14:textId="77777777">
            <w:r w:rsidRPr="00C379C8">
              <w:t>Kenya Bureau of Standards</w:t>
            </w:r>
          </w:p>
          <w:p w:rsidR="00EE3A11" w:rsidRPr="00C379C8" w:rsidP="000C3B6C" w14:paraId="2EFA7459" w14:textId="77777777">
            <w:r w:rsidRPr="00C379C8">
              <w:t>P.O. Box: 54974-00200, Nairobi, Kenya</w:t>
            </w:r>
          </w:p>
          <w:p w:rsidR="00EE3A11" w:rsidRPr="00C379C8" w:rsidP="000C3B6C" w14:paraId="594E3D18" w14:textId="77777777">
            <w:pPr>
              <w:spacing w:after="120"/>
            </w:pPr>
            <w:r w:rsidRPr="00C379C8">
              <w:t xml:space="preserve">Telephone: + (254) 020 605490, 605506/6948258 Fax: + (254) 020 609660/609665 E-mail: </w:t>
            </w:r>
            <w:hyperlink r:id="rId6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7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  <w:tr w14:paraId="4F219CF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495B91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3EEAC202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2C7A9CB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78FB28E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3EC1D0F8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Natural honey. (HS code(s): 0409); Environmental economics. Sustainability (ICS code(s): 13.020.20); Beekeeping (ICS code(s): 65.140)</w:t>
            </w:r>
          </w:p>
        </w:tc>
      </w:tr>
      <w:tr w14:paraId="3E35D51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6DA5A5D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31C98BBC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DARS 1420: 2025 Sustainability criteria for bee keeping and bee products; (91 page(s), in English)</w:t>
            </w:r>
          </w:p>
          <w:p w:rsidR="000C3B6C" w:rsidRPr="000C3B6C" w:rsidP="002F6A28" w14:paraId="1C027F25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A841D9" w:rsidRPr="00CE6C29" w:rsidP="002F6A28" w14:paraId="26D46BBC" w14:textId="77777777">
            <w:pPr>
              <w:pBdr>
                <w:top w:val="none" w:sz="0" w:space="4" w:color="auto"/>
                <w:bottom w:val="none" w:sz="0" w:space="4" w:color="auto"/>
              </w:pBdr>
              <w:spacing w:after="120"/>
              <w:rPr>
                <w:iCs/>
              </w:rPr>
            </w:pP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https://members.wto.org/crnattachments/2025/TBT/KEN/25_06503_00_e.pdf</w:t>
              </w:r>
            </w:hyperlink>
          </w:p>
        </w:tc>
      </w:tr>
      <w:tr w14:paraId="0CF16C7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23D1D1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6D90C7C0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African Standard (DARS) establishes Good Bee keeping Practices (GBP) for sustainable bee products, production, harvesting, post-harvest processing and other related handling along the value-chain in order to obtain good quality product from the farm to the table.</w:t>
            </w:r>
          </w:p>
          <w:p w:rsidR="00FE448B" w:rsidRPr="00C379C8" w:rsidP="002F6A28" w14:paraId="664C01E4" w14:textId="77777777">
            <w:pPr>
              <w:spacing w:before="120" w:after="120"/>
            </w:pPr>
            <w:r w:rsidRPr="00C379C8">
              <w:t>The scope therefore will cover all aspects operation along the value-chain from farm to gate and from gate to table while ensuring food and nutrition security, poverty alleviation and economic growth</w:t>
            </w:r>
          </w:p>
        </w:tc>
      </w:tr>
      <w:tr w14:paraId="0A0FD92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4DA9C2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71A60B63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Quality requirements; Harmonization; Cost saving and productivity enhancement</w:t>
            </w:r>
          </w:p>
        </w:tc>
      </w:tr>
      <w:tr w14:paraId="53A3578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1D09FD7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234C96D8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4C43983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rPr>
                <w:i/>
                <w:iCs/>
              </w:rPr>
              <w:t>No. 29, Forced Labour ILO Convention</w:t>
            </w:r>
          </w:p>
          <w:p w:rsidR="00EE3A11" w:rsidRPr="002F6A28" w:rsidP="007F13E8" w14:paraId="58323A5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rPr>
                <w:i/>
                <w:iCs/>
              </w:rPr>
              <w:t>No. 111, Discrimination (Employment and Discrimination) ILO Convention</w:t>
            </w:r>
          </w:p>
          <w:p w:rsidR="00EE3A11" w:rsidRPr="002F6A28" w:rsidP="007F13E8" w14:paraId="19F5BBD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rPr>
                <w:i/>
                <w:iCs/>
              </w:rPr>
              <w:t>No. 138, Minimum Age ILO Convention</w:t>
            </w:r>
          </w:p>
          <w:p w:rsidR="00EE3A11" w:rsidRPr="002F6A28" w:rsidP="007F13E8" w14:paraId="033491A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rPr>
                <w:i/>
                <w:iCs/>
              </w:rPr>
              <w:t>ISO 9000, Quality management systems — Fundamentals and vocabulary</w:t>
            </w:r>
          </w:p>
          <w:p w:rsidR="00EE3A11" w:rsidRPr="002F6A28" w:rsidP="007F13E8" w14:paraId="12C3BBD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rPr>
                <w:i/>
                <w:iCs/>
              </w:rPr>
              <w:t>ISO 9001, Quality management systems — Requirements</w:t>
            </w:r>
          </w:p>
          <w:p w:rsidR="00EE3A11" w:rsidRPr="002F6A28" w:rsidP="007F13E8" w14:paraId="7A0AAFC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rPr>
                <w:i/>
                <w:iCs/>
              </w:rPr>
              <w:t>ISO 14001, Environmental management standards</w:t>
            </w:r>
          </w:p>
          <w:p w:rsidR="00EE3A11" w:rsidRPr="002F6A28" w:rsidP="007F13E8" w14:paraId="07055EE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rPr>
                <w:i/>
                <w:iCs/>
              </w:rPr>
              <w:t>ISO 14040, Environmental management — Life cycle assessment — Principles and framework</w:t>
            </w:r>
          </w:p>
          <w:p w:rsidR="00EE3A11" w:rsidRPr="002F6A28" w:rsidP="007F13E8" w14:paraId="7415703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rPr>
                <w:i/>
                <w:iCs/>
              </w:rPr>
              <w:t>ISO 19011, Guidelines for auditing quality management systems</w:t>
            </w:r>
          </w:p>
          <w:p w:rsidR="00EE3A11" w:rsidRPr="002F6A28" w:rsidP="007F13E8" w14:paraId="757FF58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rPr>
                <w:i/>
                <w:iCs/>
              </w:rPr>
              <w:t>ISO 26000, Guidance on social responsibility</w:t>
            </w:r>
          </w:p>
          <w:p w:rsidR="00EE3A11" w:rsidRPr="002F6A28" w:rsidP="007F13E8" w14:paraId="48FC2C5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rPr>
                <w:i/>
                <w:iCs/>
              </w:rPr>
              <w:t>ISO/IEC 17065, Conformity assessment — Requirements for bodies certifying products, processes and</w:t>
            </w:r>
          </w:p>
          <w:p w:rsidR="00EE3A11" w:rsidRPr="002F6A28" w:rsidP="007F13E8" w14:paraId="0D3CF04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rPr>
                <w:i/>
                <w:iCs/>
              </w:rPr>
              <w:t>services</w:t>
            </w:r>
          </w:p>
          <w:p w:rsidR="00EE3A11" w:rsidRPr="002F6A28" w:rsidP="007F13E8" w14:paraId="75DA86E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rPr>
                <w:i/>
                <w:iCs/>
              </w:rPr>
              <w:t>Soil management standards</w:t>
            </w:r>
          </w:p>
          <w:p w:rsidR="00EE3A11" w:rsidRPr="002F6A28" w:rsidP="007F13E8" w14:paraId="5B75D46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rPr>
                <w:i/>
                <w:iCs/>
              </w:rPr>
              <w:t>Sustainable agriculture network. sustainable agriculture standards, version 4, 2010</w:t>
            </w:r>
          </w:p>
          <w:p w:rsidR="00EE3A11" w:rsidRPr="002F6A28" w:rsidP="007F13E8" w14:paraId="5261A1A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rPr>
                <w:i/>
                <w:iCs/>
              </w:rPr>
              <w:t>FAO investment center. environmental impact assessment guidelines, N0.1., 1999</w:t>
            </w:r>
          </w:p>
          <w:p w:rsidR="00EE3A11" w:rsidRPr="002F6A28" w:rsidP="007F13E8" w14:paraId="068416C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rPr>
                <w:i/>
                <w:iCs/>
              </w:rPr>
              <w:t>FAO. International code of conduct on the distribution and use of pesticides, 2003</w:t>
            </w:r>
          </w:p>
          <w:p w:rsidR="00EE3A11" w:rsidRPr="002F6A28" w:rsidP="007F13E8" w14:paraId="146BB61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rPr>
                <w:i/>
                <w:iCs/>
              </w:rPr>
              <w:t>Free and fair labour in palm oil production. principles and implementation guidance, 2015</w:t>
            </w:r>
          </w:p>
          <w:p w:rsidR="00EE3A11" w:rsidRPr="002F6A28" w:rsidP="007F13E8" w14:paraId="0334DD8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rPr>
                <w:i/>
                <w:iCs/>
              </w:rPr>
              <w:t>OECD. Due diligence guidance for responsible supply chains of minerals from conflict-affected and high-risk</w:t>
            </w:r>
          </w:p>
          <w:p w:rsidR="00EE3A11" w:rsidRPr="002F6A28" w:rsidP="007F13E8" w14:paraId="1E24649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rPr>
                <w:i/>
                <w:iCs/>
              </w:rPr>
              <w:t>areas. 2nd Edition, 2014</w:t>
            </w:r>
          </w:p>
          <w:p w:rsidR="00EE3A11" w:rsidRPr="002F6A28" w:rsidP="007F13E8" w14:paraId="7533735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rPr>
                <w:i/>
                <w:iCs/>
              </w:rPr>
              <w:t>Industrial standard of agriculture ministry, Technical specifications for rubber cultivation (NY/T 221-2006)</w:t>
            </w:r>
          </w:p>
          <w:p w:rsidR="00EE3A11" w:rsidRPr="002F6A28" w:rsidP="007F13E8" w14:paraId="51DD68F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rPr>
                <w:i/>
                <w:iCs/>
              </w:rPr>
              <w:t>OHSAS 18001, Regulations on occupational health and safety management system</w:t>
            </w:r>
          </w:p>
          <w:p w:rsidR="00EE3A11" w:rsidRPr="002F6A28" w:rsidP="007F13E8" w14:paraId="3611805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rPr>
                <w:i/>
                <w:iCs/>
              </w:rPr>
              <w:t>Global Reporting Initiative. Sustainability Reporting Guidelines(G4). 2013. Appendix 55 56</w:t>
            </w:r>
          </w:p>
          <w:p w:rsidR="00EE3A11" w:rsidRPr="002F6A28" w:rsidP="007F13E8" w14:paraId="58762A1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rPr>
                <w:i/>
                <w:iCs/>
              </w:rPr>
              <w:t>Guidance for Sustainable Natural Rubber Relevant international conventions</w:t>
            </w:r>
          </w:p>
          <w:p w:rsidR="00EE3A11" w:rsidRPr="002F6A28" w:rsidP="007F13E8" w14:paraId="4839273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rPr>
                <w:i/>
                <w:iCs/>
              </w:rPr>
              <w:t>International Covenant on Civil and Political Rights, 1966 (Entry into force 23 March 1976</w:t>
            </w:r>
          </w:p>
        </w:tc>
      </w:tr>
      <w:tr w14:paraId="423237D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3C61C65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0E039BFB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31 March 2026</w:t>
            </w:r>
          </w:p>
          <w:p w:rsidR="00EE3A11" w:rsidRPr="002F6A28" w:rsidP="008953C4" w14:paraId="3B839685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151462E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1B9536E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4668292A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250003A8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12 November 2025</w:t>
            </w:r>
          </w:p>
          <w:p w:rsidR="000C3B6C" w:rsidRPr="00E3324D" w:rsidP="000C3B6C" w14:paraId="0C98FDE1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 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64505CE7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7A0904A6" w14:textId="77777777">
            <w:r w:rsidRPr="00CE6C29">
              <w:t>Kenya Bureau of Standards (KEBS)</w:t>
            </w:r>
          </w:p>
          <w:p w:rsidR="00CE6C29" w:rsidRPr="00CE6C29" w:rsidP="000C3B6C" w14:paraId="47044260" w14:textId="77777777">
            <w:r w:rsidRPr="00CE6C29">
              <w:t>KEBS Centre</w:t>
            </w:r>
          </w:p>
          <w:p w:rsidR="00CE6C29" w:rsidRPr="00CE6C29" w:rsidP="000C3B6C" w14:paraId="09733046" w14:textId="77777777">
            <w:r w:rsidRPr="00CE6C29">
              <w:t>Contact Person: Managing Director</w:t>
            </w:r>
          </w:p>
          <w:p w:rsidR="00CE6C29" w:rsidRPr="00CE6C29" w:rsidP="000C3B6C" w14:paraId="230FA747" w14:textId="77777777">
            <w:r w:rsidRPr="00CE6C29">
              <w:t>Popo Road, off Mombasa Road, Behind Bellevue Cinema</w:t>
            </w:r>
          </w:p>
          <w:p w:rsidR="00CE6C29" w:rsidRPr="00CE6C29" w:rsidP="000C3B6C" w14:paraId="2A910AF6" w14:textId="77777777">
            <w:r w:rsidRPr="00CE6C29">
              <w:t>P.O. Box 54974</w:t>
            </w:r>
          </w:p>
          <w:p w:rsidR="00CE6C29" w:rsidRPr="00CE6C29" w:rsidP="000C3B6C" w14:paraId="195E53BD" w14:textId="77777777">
            <w:r w:rsidRPr="00CE6C29">
              <w:t>Nairobi 00200</w:t>
            </w:r>
          </w:p>
          <w:p w:rsidR="00CE6C29" w:rsidRPr="00CE6C29" w:rsidP="000C3B6C" w14:paraId="52BF415E" w14:textId="77777777">
            <w:r w:rsidRPr="00CE6C29">
              <w:t>Tel: +(254) 722 202137; +(254) 724 255242</w:t>
            </w:r>
          </w:p>
          <w:p w:rsidR="00CE6C29" w:rsidRPr="00CE6C29" w:rsidP="000C3B6C" w14:paraId="0E3B8679" w14:textId="77777777">
            <w:r w:rsidRPr="00CE6C29">
              <w:t>Fax: +(254) 20 609660; +(254) 20 604031</w:t>
            </w:r>
          </w:p>
          <w:p w:rsidR="00CE6C29" w:rsidRPr="00CE6C29" w:rsidP="000C3B6C" w14:paraId="1CA282D6" w14:textId="77777777">
            <w:r w:rsidRPr="00CE6C29">
              <w:t xml:space="preserve">Email: </w:t>
            </w:r>
            <w:hyperlink r:id="rId6" w:history="1">
              <w:r w:rsidRPr="00CE6C29">
                <w:rPr>
                  <w:color w:val="0000FF"/>
                  <w:u w:val="single"/>
                </w:rPr>
                <w:t>info@kebs.org</w:t>
              </w:r>
            </w:hyperlink>
          </w:p>
          <w:p w:rsidR="00CE6C29" w:rsidRPr="00CE6C29" w:rsidP="000C3B6C" w14:paraId="21820C08" w14:textId="77777777">
            <w:pPr>
              <w:spacing w:after="120"/>
            </w:pPr>
            <w:r w:rsidRPr="00CE6C29">
              <w:t xml:space="preserve">Website: </w:t>
            </w:r>
            <w:hyperlink r:id="rId9" w:tgtFrame="_blank" w:history="1">
              <w:r w:rsidRPr="00CE6C29">
                <w:rPr>
                  <w:color w:val="0000FF"/>
                  <w:u w:val="single"/>
                </w:rPr>
                <w:t>https://www.kebs.org</w:t>
              </w:r>
            </w:hyperlink>
          </w:p>
        </w:tc>
      </w:tr>
    </w:tbl>
    <w:p w:rsidR="00EE3A11" w:rsidRPr="002F6A28" w:rsidP="00887259" w14:paraId="4A230325" w14:textId="77777777">
      <w:pPr>
        <w:jc w:val="center"/>
      </w:pPr>
    </w:p>
    <w:sectPr w:rsidSect="00760D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F387601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60747AE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5CD2A57E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9907DD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1737821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4787351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290C0FFE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99E23D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G/TBT/N/KEN/1892</w:t>
    </w:r>
    <w:bookmarkEnd w:id="0"/>
  </w:p>
  <w:p w:rsidR="009239F7" w:rsidRPr="002F6A28" w:rsidP="009239F7" w14:paraId="22D18AC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5BC4E8E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2C28ABA2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7EEE2933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27A284C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3689A24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277F3F7B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11AF7D5F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14695219" w14:textId="77777777">
          <w:pPr>
            <w:jc w:val="right"/>
            <w:rPr>
              <w:b/>
              <w:szCs w:val="16"/>
            </w:rPr>
          </w:pPr>
        </w:p>
      </w:tc>
    </w:tr>
    <w:tr w14:paraId="21765A4E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57B32694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0EDBCDE4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G/TBT/N/KEN/1892</w:t>
          </w:r>
          <w:bookmarkEnd w:id="2"/>
        </w:p>
      </w:tc>
    </w:tr>
    <w:tr w14:paraId="12E8683D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47317D5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E663ABE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30 September 2025</w:t>
          </w:r>
          <w:bookmarkEnd w:id="3"/>
          <w:bookmarkEnd w:id="4"/>
        </w:p>
      </w:tc>
    </w:tr>
    <w:tr w14:paraId="5614F531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78F39E22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(25-6210)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35068479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0287D943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7D0F2D77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4A50382C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30A69AA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29800742">
    <w:abstractNumId w:val="9"/>
  </w:num>
  <w:num w:numId="2" w16cid:durableId="477962410">
    <w:abstractNumId w:val="7"/>
  </w:num>
  <w:num w:numId="3" w16cid:durableId="1854681439">
    <w:abstractNumId w:val="6"/>
  </w:num>
  <w:num w:numId="4" w16cid:durableId="316882996">
    <w:abstractNumId w:val="5"/>
  </w:num>
  <w:num w:numId="5" w16cid:durableId="799420703">
    <w:abstractNumId w:val="4"/>
  </w:num>
  <w:num w:numId="6" w16cid:durableId="1528907428">
    <w:abstractNumId w:val="12"/>
  </w:num>
  <w:num w:numId="7" w16cid:durableId="474109563">
    <w:abstractNumId w:val="11"/>
  </w:num>
  <w:num w:numId="8" w16cid:durableId="297613516">
    <w:abstractNumId w:val="10"/>
  </w:num>
  <w:num w:numId="9" w16cid:durableId="46959197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34646807">
    <w:abstractNumId w:val="13"/>
  </w:num>
  <w:num w:numId="11" w16cid:durableId="635379247">
    <w:abstractNumId w:val="8"/>
  </w:num>
  <w:num w:numId="12" w16cid:durableId="693002547">
    <w:abstractNumId w:val="3"/>
  </w:num>
  <w:num w:numId="13" w16cid:durableId="1362782004">
    <w:abstractNumId w:val="2"/>
  </w:num>
  <w:num w:numId="14" w16cid:durableId="864444891">
    <w:abstractNumId w:val="1"/>
  </w:num>
  <w:num w:numId="15" w16cid:durableId="1992901744">
    <w:abstractNumId w:val="0"/>
  </w:num>
  <w:num w:numId="16" w16cid:durableId="73940350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removeDateAndTime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2EBE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C1A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04C0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841D9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B603F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39B3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6C36AA1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kebs.org" TargetMode="External" /><Relationship Id="rId7" Type="http://schemas.openxmlformats.org/officeDocument/2006/relationships/hyperlink" Target="http://www.kebs.org" TargetMode="External" /><Relationship Id="rId8" Type="http://schemas.openxmlformats.org/officeDocument/2006/relationships/hyperlink" Target="https://members.wto.org/crnattachments/2025/TBT/KEN/25_06503_00_e.pdf" TargetMode="External" /><Relationship Id="rId9" Type="http://schemas.openxmlformats.org/officeDocument/2006/relationships/hyperlink" Target="https://www.kebs.org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829D57-2CE2-47FD-A34B-8194D938C917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Rivera, Marcela</cp:lastModifiedBy>
  <cp:revision>3</cp:revision>
  <dcterms:created xsi:type="dcterms:W3CDTF">2025-09-30T09:57:00Z</dcterms:created>
  <dcterms:modified xsi:type="dcterms:W3CDTF">2025-09-30T10:04:00Z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