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C0B87D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166AF5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B60DECB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11271CE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E4FCAD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62583A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3839816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78735DA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48D59E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5DBF00C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038CE666" w14:textId="77777777">
            <w:pPr>
              <w:spacing w:after="120"/>
            </w:pPr>
            <w:r w:rsidRPr="00C379C8">
              <w:t>Kenya Bureau of Standards</w:t>
            </w:r>
          </w:p>
          <w:p w:rsidR="00F85C99" w:rsidRPr="002F6A28" w:rsidP="00AA646C" w14:paraId="4F6F9B50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07A6381D" w14:textId="77777777">
            <w:r w:rsidRPr="00C379C8">
              <w:t>Kenya Bureau of Standards</w:t>
            </w:r>
          </w:p>
          <w:p w:rsidR="00AC6C6E" w:rsidRPr="00C379C8" w:rsidP="00AA646C" w14:paraId="0EC3612B" w14:textId="77777777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1919121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CDD926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5B45A00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DEDCB3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1D71B1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43770C3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Sauce and preparations therefor; mixed condiments and mixed seasonings; mustard flour and meal, whether or not prepared, and mustard (HS code(s): 2103); Food products in general (ICS code(s): 67.040)</w:t>
            </w:r>
          </w:p>
        </w:tc>
      </w:tr>
      <w:tr w14:paraId="614FB01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69A102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F6A0507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DKS 551: 2025 Emulsified sauces ― Specification; (12 page(s), in English)</w:t>
            </w:r>
          </w:p>
        </w:tc>
      </w:tr>
      <w:tr w14:paraId="01DBFCD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92428D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B3EC36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Kenya Standard specifies the requirements and methods of test for emulsified sauces intended for direct human consumption.</w:t>
            </w:r>
          </w:p>
        </w:tc>
      </w:tr>
      <w:tr w14:paraId="2CA8D8D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F7FD8E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6B158D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Quality requirements; Reducing trade barriers and facilitating trade</w:t>
            </w:r>
          </w:p>
        </w:tc>
      </w:tr>
      <w:tr w14:paraId="66320F0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6493693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0637B31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1DEC3A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952.13, </w:t>
            </w:r>
            <w:r w:rsidRPr="002F6A28">
              <w:rPr>
                <w:i/>
                <w:iCs/>
              </w:rPr>
              <w:t>Arsenic in food. Silver diethyldithiocarbamate</w:t>
            </w:r>
          </w:p>
          <w:p w:rsidR="00EE3A11" w:rsidRPr="002F6A28" w:rsidP="007F13E8" w14:paraId="7A0514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CXS 192, </w:t>
            </w:r>
            <w:r w:rsidRPr="002F6A28">
              <w:rPr>
                <w:i/>
                <w:iCs/>
              </w:rPr>
              <w:t>General Standard for Food Additives</w:t>
            </w:r>
          </w:p>
          <w:p w:rsidR="00EE3A11" w:rsidRPr="002F6A28" w:rsidP="007F13E8" w14:paraId="2FF8A70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EAS 12, </w:t>
            </w:r>
            <w:r w:rsidRPr="002F6A28">
              <w:rPr>
                <w:i/>
                <w:iCs/>
              </w:rPr>
              <w:t xml:space="preserve">Potable water – </w:t>
            </w:r>
            <w:r w:rsidRPr="002F6A28">
              <w:rPr>
                <w:i/>
                <w:iCs/>
              </w:rPr>
              <w:t>Specification</w:t>
            </w:r>
          </w:p>
          <w:p w:rsidR="00EE3A11" w:rsidRPr="002F6A28" w:rsidP="007F13E8" w14:paraId="712C2C1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EAS 38, </w:t>
            </w:r>
            <w:r w:rsidRPr="002F6A28">
              <w:rPr>
                <w:i/>
                <w:iCs/>
              </w:rPr>
              <w:t>Labelling of pre-packaged foods – General requirements</w:t>
            </w:r>
          </w:p>
          <w:p w:rsidR="00EE3A11" w:rsidRPr="002F6A28" w:rsidP="007F13E8" w14:paraId="46A3DD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EAS 39, </w:t>
            </w:r>
            <w:r w:rsidRPr="002F6A28">
              <w:rPr>
                <w:i/>
                <w:iCs/>
              </w:rPr>
              <w:t>General principles of food hygiene — Code of practice</w:t>
            </w:r>
          </w:p>
          <w:p w:rsidR="00EE3A11" w:rsidRPr="002F6A28" w:rsidP="007F13E8" w14:paraId="1766D0C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EAS 803, </w:t>
            </w:r>
            <w:r w:rsidRPr="002F6A28">
              <w:rPr>
                <w:i/>
                <w:iCs/>
              </w:rPr>
              <w:t>Nutrition labelling — Requirements</w:t>
            </w:r>
          </w:p>
          <w:p w:rsidR="00EE3A11" w:rsidRPr="002F6A28" w:rsidP="007F13E8" w14:paraId="5E64D0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804,</w:t>
            </w:r>
            <w:r w:rsidRPr="002F6A28">
              <w:rPr>
                <w:i/>
                <w:iCs/>
              </w:rPr>
              <w:t xml:space="preserve"> Claims — General requirements</w:t>
            </w:r>
          </w:p>
          <w:p w:rsidR="00EE3A11" w:rsidRPr="002F6A28" w:rsidP="007F13E8" w14:paraId="5C90D69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EAS 805, </w:t>
            </w:r>
            <w:r w:rsidRPr="002F6A28">
              <w:rPr>
                <w:i/>
                <w:iCs/>
              </w:rPr>
              <w:t>Use of nutrition and health claims — Requirements</w:t>
            </w:r>
          </w:p>
          <w:p w:rsidR="00EE3A11" w:rsidRPr="002F6A28" w:rsidP="007F13E8" w14:paraId="3B85CBA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660, </w:t>
            </w:r>
            <w:r w:rsidRPr="002F6A28">
              <w:rPr>
                <w:i/>
                <w:iCs/>
              </w:rPr>
              <w:t>Animal and vegetable fats and oils — Determination of acid value and acidity</w:t>
            </w:r>
          </w:p>
          <w:p w:rsidR="00EE3A11" w:rsidRPr="002F6A28" w:rsidP="007F13E8" w14:paraId="16E1B8B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3960, </w:t>
            </w:r>
            <w:r w:rsidRPr="002F6A28">
              <w:rPr>
                <w:i/>
                <w:iCs/>
              </w:rPr>
              <w:t>Animal and vegetable fats and oils — Determination of peroxide value</w:t>
            </w:r>
          </w:p>
          <w:p w:rsidR="00EE3A11" w:rsidRPr="002F6A28" w:rsidP="007F13E8" w14:paraId="6C789E3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6579-1, </w:t>
            </w:r>
            <w:r w:rsidRPr="002F6A28">
              <w:rPr>
                <w:i/>
                <w:iCs/>
              </w:rPr>
              <w:t>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6A5AC4B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6888-1, </w:t>
            </w:r>
            <w:r w:rsidRPr="002F6A28">
              <w:rPr>
                <w:i/>
                <w:iCs/>
              </w:rPr>
              <w:t xml:space="preserve">Microbiology of the food chain — Horizontal method for the enumeration of coagulase-positive Staphylococci </w:t>
            </w:r>
            <w:r w:rsidRPr="002F6A28">
              <w:rPr>
                <w:i/>
                <w:iCs/>
              </w:rPr>
              <w:t>(Staphylococcus aureus and other species) — Part 1: Method using Baird-Parker agar medium</w:t>
            </w:r>
          </w:p>
          <w:p w:rsidR="00EE3A11" w:rsidRPr="002F6A28" w:rsidP="007F13E8" w14:paraId="3738F8B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11290-1, </w:t>
            </w:r>
            <w:r w:rsidRPr="002F6A28">
              <w:rPr>
                <w:i/>
                <w:iCs/>
              </w:rPr>
              <w:t>Microbiology of the food chain — Horizontal method for the detection and enumeration of Listeria monocytogenes and of Listeria spp. — Part 1: Detection method</w:t>
            </w:r>
          </w:p>
          <w:p w:rsidR="00EE3A11" w:rsidRPr="002F6A28" w:rsidP="007F13E8" w14:paraId="1FA98D3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12193, </w:t>
            </w:r>
            <w:r w:rsidRPr="002F6A28">
              <w:rPr>
                <w:i/>
                <w:iCs/>
              </w:rPr>
              <w:t>Animal and vegetable fats and oils — Determination of lead by direct graphite furnace atomic absorption spectroscopy</w:t>
            </w:r>
          </w:p>
          <w:p w:rsidR="00EE3A11" w:rsidRPr="002F6A28" w:rsidP="007F13E8" w14:paraId="469A8A6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13547-2, </w:t>
            </w:r>
            <w:r w:rsidRPr="002F6A28">
              <w:rPr>
                <w:i/>
                <w:iCs/>
              </w:rPr>
              <w:t>Copper, lead, zinc and nickel sulfide concentrates — Determination of arsenic Part 2: Acid digestion and by inductively coupled plasma atomic emission and spectrometric method</w:t>
            </w:r>
          </w:p>
          <w:p w:rsidR="00EE3A11" w:rsidRPr="002F6A28" w:rsidP="007F13E8" w14:paraId="31BCB06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16649-2, </w:t>
            </w:r>
            <w:r w:rsidRPr="002F6A28">
              <w:rPr>
                <w:i/>
                <w:iCs/>
              </w:rPr>
              <w:t>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:rsidR="00EE3A11" w:rsidRPr="002F6A28" w:rsidP="007F13E8" w14:paraId="2EC8BD4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17189, </w:t>
            </w:r>
            <w:r w:rsidRPr="002F6A28">
              <w:rPr>
                <w:i/>
                <w:iCs/>
              </w:rPr>
              <w:t>Butter, edible oil emulsions and spreadable fats — Determination of fat content (Reference method)</w:t>
            </w:r>
          </w:p>
          <w:p w:rsidR="00EE3A11" w:rsidRPr="002F6A28" w:rsidP="007F13E8" w14:paraId="661246C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21527-2, Microbiology of food and animal feeding stuffs — Horizontal method for the enumeration of yeasts and moulds — Part 2: Colony count technique in products with water activity less than or equal to 0.95</w:t>
            </w:r>
          </w:p>
        </w:tc>
      </w:tr>
      <w:tr w14:paraId="6802CFD8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2977EF2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791EF3B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379F04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00CD79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EEC705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F9E1EB4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4B0C0D9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17B709BB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3FD10EA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7E7ED3D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Kenya Bureau of </w:t>
            </w:r>
            <w:r w:rsidRPr="00A12DDE">
              <w:rPr>
                <w:bCs/>
              </w:rPr>
              <w:t>Standards</w:t>
            </w:r>
          </w:p>
          <w:p w:rsidR="00EE3A11" w:rsidRPr="00A12DDE" w:rsidP="00B16145" w14:paraId="6292FD4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:rsidR="00EE3A11" w:rsidRPr="00A12DDE" w:rsidP="00B16145" w14:paraId="3C0C9DBC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https://members.wto.org/crnattachments/2025/TBT/KEN/25_01298_00_e.pdf</w:t>
              </w:r>
            </w:hyperlink>
          </w:p>
        </w:tc>
      </w:tr>
    </w:tbl>
    <w:p w:rsidR="00EE3A11" w:rsidRPr="002F6A28" w:rsidP="002F6A28" w14:paraId="2871261B" w14:textId="77777777"/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0E4D30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722CF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949691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466D8F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89EBE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D00BE8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09A075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F808C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G/TBT/N/KEN/1769</w:t>
    </w:r>
    <w:bookmarkEnd w:id="0"/>
  </w:p>
  <w:p w:rsidR="009239F7" w:rsidRPr="002F6A28" w:rsidP="009239F7" w14:paraId="61A88D1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A399B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F1E99A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863625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353141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5361F81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432DA8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7C0929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1C3EB9E" w14:textId="77777777">
          <w:pPr>
            <w:jc w:val="right"/>
            <w:rPr>
              <w:b/>
              <w:szCs w:val="16"/>
            </w:rPr>
          </w:pPr>
        </w:p>
      </w:tc>
    </w:tr>
    <w:tr w14:paraId="0CD1833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DF7180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B60D4D3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G/TBT/N/KEN/1769</w:t>
          </w:r>
          <w:bookmarkEnd w:id="2"/>
        </w:p>
      </w:tc>
    </w:tr>
    <w:tr w14:paraId="6C354C4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CA473C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BFB8BF7" w14:textId="5E04D5DF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11 February 2025</w:t>
          </w:r>
        </w:p>
      </w:tc>
    </w:tr>
    <w:tr w14:paraId="7C32FE5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3BD5AC6" w14:textId="77777777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(25-0960)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250434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A26883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B537AB6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C9779B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344EBD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8361422">
    <w:abstractNumId w:val="9"/>
  </w:num>
  <w:num w:numId="2" w16cid:durableId="1675379347">
    <w:abstractNumId w:val="7"/>
  </w:num>
  <w:num w:numId="3" w16cid:durableId="1040783669">
    <w:abstractNumId w:val="6"/>
  </w:num>
  <w:num w:numId="4" w16cid:durableId="1125393723">
    <w:abstractNumId w:val="5"/>
  </w:num>
  <w:num w:numId="5" w16cid:durableId="1585647752">
    <w:abstractNumId w:val="4"/>
  </w:num>
  <w:num w:numId="6" w16cid:durableId="1547839247">
    <w:abstractNumId w:val="12"/>
  </w:num>
  <w:num w:numId="7" w16cid:durableId="1359625722">
    <w:abstractNumId w:val="11"/>
  </w:num>
  <w:num w:numId="8" w16cid:durableId="1515996787">
    <w:abstractNumId w:val="10"/>
  </w:num>
  <w:num w:numId="9" w16cid:durableId="1312057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547113">
    <w:abstractNumId w:val="13"/>
  </w:num>
  <w:num w:numId="11" w16cid:durableId="689987035">
    <w:abstractNumId w:val="8"/>
  </w:num>
  <w:num w:numId="12" w16cid:durableId="222302959">
    <w:abstractNumId w:val="3"/>
  </w:num>
  <w:num w:numId="13" w16cid:durableId="73556631">
    <w:abstractNumId w:val="2"/>
  </w:num>
  <w:num w:numId="14" w16cid:durableId="1984845954">
    <w:abstractNumId w:val="1"/>
  </w:num>
  <w:num w:numId="15" w16cid:durableId="879050573">
    <w:abstractNumId w:val="0"/>
  </w:num>
  <w:num w:numId="16" w16cid:durableId="3084861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34F5C"/>
    <w:rsid w:val="004423A4"/>
    <w:rsid w:val="004630AA"/>
    <w:rsid w:val="00467032"/>
    <w:rsid w:val="0046754A"/>
    <w:rsid w:val="00473B57"/>
    <w:rsid w:val="0048173D"/>
    <w:rsid w:val="004A23F8"/>
    <w:rsid w:val="004A6E91"/>
    <w:rsid w:val="004C27A4"/>
    <w:rsid w:val="004E51B2"/>
    <w:rsid w:val="004F203A"/>
    <w:rsid w:val="005104AF"/>
    <w:rsid w:val="0052601B"/>
    <w:rsid w:val="005336B8"/>
    <w:rsid w:val="00533DC1"/>
    <w:rsid w:val="00534BE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3E43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84C24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93558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FB6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1298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DC9D17-23C3-4A03-9C18-B06207A98B0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629</Words>
  <Characters>3687</Characters>
  <Application>Microsoft Office Word</Application>
  <DocSecurity>0</DocSecurity>
  <Lines>85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2025-02-11T14:14:00Z</dcterms:created>
  <dcterms:modified xsi:type="dcterms:W3CDTF">2025-02-11T14:19:00Z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