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610146C" w14:textId="77777777">
      <w:pPr>
        <w:pStyle w:val="Title"/>
        <w:rPr>
          <w:caps w:val="0"/>
          <w:kern w:val="0"/>
        </w:rPr>
      </w:pPr>
      <w:r w:rsidRPr="002F6A28">
        <w:rPr>
          <w:caps w:val="0"/>
          <w:kern w:val="0"/>
        </w:rPr>
        <w:t>NOTIFICATION</w:t>
      </w:r>
    </w:p>
    <w:p w:rsidR="009239F7" w:rsidRPr="002F6A28" w:rsidP="002F6A28" w14:paraId="11EC51F2" w14:textId="77777777">
      <w:pPr>
        <w:jc w:val="center"/>
      </w:pPr>
      <w:r w:rsidRPr="002F6A28">
        <w:t>The following notification is being circulated in accordance with Article 10.6</w:t>
      </w:r>
    </w:p>
    <w:p w:rsidR="009239F7" w:rsidRPr="002F6A28" w:rsidP="002F6A28" w14:paraId="32107B2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159A4084"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D51FAAF"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D0AF228"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77F88F31" w14:textId="77777777">
            <w:pPr>
              <w:spacing w:after="120"/>
            </w:pPr>
            <w:r w:rsidRPr="002F6A28">
              <w:rPr>
                <w:b/>
              </w:rPr>
              <w:t>If applicable, name of local government involved (Article 3.2 and 7.2):</w:t>
            </w:r>
            <w:r w:rsidRPr="00C379C8" w:rsidR="00EE3A11">
              <w:t xml:space="preserve"> </w:t>
            </w:r>
          </w:p>
        </w:tc>
      </w:tr>
      <w:tr w14:paraId="217D20D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9A9C937"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19924D6" w14:textId="77777777">
            <w:pPr>
              <w:spacing w:before="120" w:after="120"/>
            </w:pPr>
            <w:r w:rsidRPr="002F6A28">
              <w:rPr>
                <w:b/>
              </w:rPr>
              <w:t>Agency responsible:</w:t>
            </w:r>
            <w:r w:rsidRPr="00C379C8" w:rsidR="00EE3A11">
              <w:t xml:space="preserve"> </w:t>
            </w:r>
          </w:p>
          <w:p w:rsidR="00EE3A11" w:rsidRPr="00C379C8" w:rsidP="00155128" w14:paraId="4B27081F" w14:textId="77777777">
            <w:r w:rsidRPr="00C379C8">
              <w:t>Egyptian Organization for Standardization and Quality</w:t>
            </w:r>
          </w:p>
          <w:p w:rsidR="00EE3A11" w:rsidRPr="00C379C8" w:rsidP="00155128" w14:paraId="336F7A0F" w14:textId="77777777">
            <w:r w:rsidRPr="00C379C8">
              <w:t>16 Tadreeb El-Modarrebeen St., Ameriya, Cairo - Egypt</w:t>
            </w:r>
          </w:p>
          <w:p w:rsidR="00EE3A11" w:rsidRPr="00C379C8" w:rsidP="00155128" w14:paraId="56AA6166"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155128" w14:paraId="616758A0" w14:textId="77777777">
            <w:r w:rsidRPr="00C379C8">
              <w:t xml:space="preserve">Website: </w:t>
            </w:r>
            <w:hyperlink r:id="rId8" w:tgtFrame="_blank" w:history="1">
              <w:r w:rsidRPr="00C379C8">
                <w:rPr>
                  <w:color w:val="0000FF"/>
                  <w:u w:val="single"/>
                </w:rPr>
                <w:t>http://www.eos.org.eg</w:t>
              </w:r>
            </w:hyperlink>
          </w:p>
          <w:p w:rsidR="00EE3A11" w:rsidRPr="00C379C8" w:rsidP="00155128" w14:paraId="54BFD268" w14:textId="77777777">
            <w:r w:rsidRPr="00C379C8">
              <w:t>Tel.: 0222845528</w:t>
            </w:r>
          </w:p>
          <w:p w:rsidR="00EE3A11" w:rsidRPr="00C379C8" w:rsidP="00155128" w14:paraId="5DF7C947" w14:textId="77777777">
            <w:pPr>
              <w:spacing w:after="120"/>
            </w:pPr>
            <w:r w:rsidRPr="00C379C8">
              <w:t>Fax: 0222845504</w:t>
            </w:r>
          </w:p>
          <w:p w:rsidR="00F85C99" w:rsidRPr="002F6A28" w:rsidP="00AA646C" w14:paraId="05F19F69"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6C9230A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8628E15"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7F1A6A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89904E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F61390E"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0FD6A588"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Fuel systems (ICS code(s): 43.060.40)</w:t>
            </w:r>
          </w:p>
        </w:tc>
      </w:tr>
      <w:tr w14:paraId="4428D66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15E2274"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35CA4BD" w14:textId="77777777">
            <w:pPr>
              <w:spacing w:before="120" w:after="120"/>
            </w:pPr>
            <w:r w:rsidRPr="002F6A28">
              <w:rPr>
                <w:b/>
              </w:rPr>
              <w:t>Title, number of pages and language(s) of the notified document:</w:t>
            </w:r>
            <w:r w:rsidRPr="00C379C8" w:rsidR="00EE3A11">
              <w:t xml:space="preserve"> Draft of Egyptian standard "Road vehicles — Fuel filters for diesel engines — Test methods";; (53 page(s), in English)</w:t>
            </w:r>
          </w:p>
        </w:tc>
      </w:tr>
      <w:tr w14:paraId="3346275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DB51A7B"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7C5D951" w14:textId="77777777">
            <w:pPr>
              <w:spacing w:before="120" w:after="120"/>
              <w:rPr>
                <w:b/>
              </w:rPr>
            </w:pPr>
            <w:r w:rsidRPr="002F6A28">
              <w:rPr>
                <w:b/>
              </w:rPr>
              <w:t>Description of content:</w:t>
            </w:r>
            <w:r w:rsidRPr="00C379C8" w:rsidR="00FE448B">
              <w:t xml:space="preserve"> This draft Standard specifies the types of test for fuel filters in accordance with their application. It applies to fuel filters provided for road vehicles with diesel engines and for test installations for fuel injection equipment and is intended for filters having a rated flow of up to 200 l .h-1. By agreement, the tests, with some modifications, may be used for filters with higher rates of flow.</w:t>
            </w:r>
          </w:p>
          <w:p w:rsidR="00FE448B" w:rsidRPr="00C379C8" w:rsidP="002F6A28" w14:paraId="5C2EE359" w14:textId="77777777">
            <w:pPr>
              <w:spacing w:before="120" w:after="120"/>
            </w:pPr>
            <w:r w:rsidRPr="00C379C8">
              <w:t>The test described may be used for fuel filters located either on the pressure side or on the suction side of the fuel supply pump.</w:t>
            </w:r>
          </w:p>
          <w:p w:rsidR="00FE448B" w:rsidRPr="00C379C8" w:rsidP="002F6A28" w14:paraId="0DD4AEE4" w14:textId="77777777">
            <w:pPr>
              <w:spacing w:before="120" w:after="120"/>
            </w:pPr>
            <w:r w:rsidRPr="00C379C8">
              <w:t>Worth mentioning is that this draft standard adopts the technical content of ISO 4020/2001</w:t>
            </w:r>
          </w:p>
        </w:tc>
      </w:tr>
      <w:tr w14:paraId="406A24A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55FE529"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AE72458"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541A1CA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30BF441"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3CA62B32" w14:textId="77777777">
            <w:pPr>
              <w:spacing w:before="120" w:after="120"/>
              <w:rPr>
                <w:bCs/>
              </w:rPr>
            </w:pPr>
            <w:r w:rsidRPr="002F6A28">
              <w:rPr>
                <w:b/>
              </w:rPr>
              <w:t>Relevant documents:</w:t>
            </w:r>
            <w:r w:rsidRPr="002F6A28" w:rsidR="00EE3A11">
              <w:t xml:space="preserve"> </w:t>
            </w:r>
          </w:p>
          <w:p w:rsidR="00EE3A11" w:rsidRPr="002F6A28" w:rsidP="007F13E8" w14:paraId="4DD3DEE0" w14:textId="77777777">
            <w:pPr>
              <w:spacing w:before="120" w:after="120"/>
            </w:pPr>
            <w:r w:rsidRPr="002F6A28">
              <w:t>ISO 4020/2001</w:t>
            </w:r>
          </w:p>
        </w:tc>
      </w:tr>
      <w:tr w14:paraId="270A3522"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08CB08DF"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701FF554" w14:textId="77777777">
            <w:pPr>
              <w:spacing w:before="120" w:after="120"/>
            </w:pPr>
            <w:r w:rsidRPr="002F6A28">
              <w:rPr>
                <w:b/>
              </w:rPr>
              <w:t>Proposed date of adoption:</w:t>
            </w:r>
            <w:r w:rsidRPr="00C379C8">
              <w:t xml:space="preserve"> To be determined</w:t>
            </w:r>
          </w:p>
          <w:p w:rsidR="00EE3A11" w:rsidRPr="002F6A28" w:rsidP="008953C4" w14:paraId="151378B3" w14:textId="77777777">
            <w:pPr>
              <w:spacing w:after="120"/>
            </w:pPr>
            <w:r w:rsidRPr="002F6A28">
              <w:rPr>
                <w:b/>
              </w:rPr>
              <w:t xml:space="preserve">Proposed date of entry </w:t>
            </w:r>
            <w:r w:rsidRPr="002F6A28">
              <w:rPr>
                <w:b/>
              </w:rPr>
              <w:t>into force:</w:t>
            </w:r>
            <w:r w:rsidRPr="00C379C8">
              <w:t xml:space="preserve"> To be determined</w:t>
            </w:r>
          </w:p>
        </w:tc>
      </w:tr>
      <w:tr w14:paraId="158E395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DA5257A"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39BA823" w14:textId="77777777">
            <w:pPr>
              <w:spacing w:before="120" w:after="120"/>
            </w:pPr>
            <w:r w:rsidRPr="002F6A28">
              <w:rPr>
                <w:b/>
              </w:rPr>
              <w:t>Final date for comments:</w:t>
            </w:r>
            <w:r w:rsidRPr="00C379C8" w:rsidR="00EE3A11">
              <w:t xml:space="preserve"> 60 days from notification</w:t>
            </w:r>
          </w:p>
        </w:tc>
      </w:tr>
      <w:tr w14:paraId="6B602CE2"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C3B2E74"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571DC2D"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C18817E" w14:textId="77777777">
            <w:pPr>
              <w:keepNext/>
              <w:keepLines/>
              <w:rPr>
                <w:bCs/>
              </w:rPr>
            </w:pPr>
            <w:r w:rsidRPr="00A12DDE">
              <w:rPr>
                <w:bCs/>
              </w:rPr>
              <w:t>Egyptian Organization for Standardization and Quality</w:t>
            </w:r>
          </w:p>
          <w:p w:rsidR="00EE3A11" w:rsidRPr="00A12DDE" w:rsidP="00B16145" w14:paraId="232C7BC4" w14:textId="77777777">
            <w:pPr>
              <w:keepNext/>
              <w:keepLines/>
              <w:rPr>
                <w:bCs/>
              </w:rPr>
            </w:pPr>
            <w:r w:rsidRPr="00A12DDE">
              <w:rPr>
                <w:bCs/>
              </w:rPr>
              <w:t>Address: 16 Tadreeb El-Modarrebeen St.</w:t>
            </w:r>
          </w:p>
          <w:p w:rsidR="00EE3A11" w:rsidRPr="00A964C8" w:rsidP="00B16145" w14:paraId="7C94E27E" w14:textId="77777777">
            <w:pPr>
              <w:keepNext/>
              <w:keepLines/>
              <w:rPr>
                <w:bCs/>
                <w:lang w:val="es-ES"/>
              </w:rPr>
            </w:pPr>
            <w:r w:rsidRPr="00A964C8">
              <w:rPr>
                <w:bCs/>
                <w:lang w:val="es-ES"/>
              </w:rPr>
              <w:t>Ameriya, Cairo - Egypt</w:t>
            </w:r>
          </w:p>
          <w:p w:rsidR="00EE3A11" w:rsidRPr="00A964C8" w:rsidP="00B16145" w14:paraId="76C2093C" w14:textId="77777777">
            <w:pPr>
              <w:keepNext/>
              <w:keepLines/>
              <w:rPr>
                <w:bCs/>
                <w:lang w:val="es-ES"/>
              </w:rPr>
            </w:pPr>
            <w:r w:rsidRPr="00A964C8">
              <w:rPr>
                <w:bCs/>
                <w:lang w:val="es-ES"/>
              </w:rPr>
              <w:t xml:space="preserve">E-mail: </w:t>
            </w:r>
            <w:hyperlink r:id="rId6" w:history="1">
              <w:r w:rsidRPr="00A964C8">
                <w:rPr>
                  <w:bCs/>
                  <w:color w:val="0000FF"/>
                  <w:u w:val="single"/>
                  <w:lang w:val="es-ES"/>
                </w:rPr>
                <w:t>eos@eos.org.eg</w:t>
              </w:r>
            </w:hyperlink>
            <w:r w:rsidRPr="00A964C8">
              <w:rPr>
                <w:bCs/>
                <w:lang w:val="es-ES"/>
              </w:rPr>
              <w:t xml:space="preserve"> / </w:t>
            </w:r>
            <w:hyperlink r:id="rId7" w:history="1">
              <w:r w:rsidRPr="00A964C8">
                <w:rPr>
                  <w:bCs/>
                  <w:color w:val="0000FF"/>
                  <w:u w:val="single"/>
                  <w:lang w:val="es-ES"/>
                </w:rPr>
                <w:t>eos.tbt@eos.org.eg</w:t>
              </w:r>
            </w:hyperlink>
          </w:p>
          <w:p w:rsidR="00EE3A11" w:rsidRPr="00A12DDE" w:rsidP="00B16145" w14:paraId="0CE9409B" w14:textId="77777777">
            <w:pPr>
              <w:keepNext/>
              <w:keepLines/>
              <w:spacing w:after="120"/>
              <w:rPr>
                <w:bCs/>
              </w:rPr>
            </w:pPr>
            <w:r w:rsidRPr="00A12DDE">
              <w:rPr>
                <w:bCs/>
              </w:rPr>
              <w:t xml:space="preserve">Website: </w:t>
            </w:r>
            <w:hyperlink r:id="rId8" w:tgtFrame="_blank" w:history="1">
              <w:r w:rsidRPr="00A12DDE">
                <w:rPr>
                  <w:bCs/>
                  <w:color w:val="0000FF"/>
                  <w:u w:val="single"/>
                </w:rPr>
                <w:t>http://www.eos.org.eg</w:t>
              </w:r>
            </w:hyperlink>
          </w:p>
        </w:tc>
      </w:tr>
    </w:tbl>
    <w:p w:rsidR="00EE3A11" w:rsidRPr="002F6A28" w:rsidP="002F6A28" w14:paraId="63A6CB3E"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57556D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B51BC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FEA32F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11F3425" w14:textId="77777777">
    <w:pPr>
      <w:pStyle w:val="Header"/>
      <w:pBdr>
        <w:bottom w:val="single" w:sz="4" w:space="1" w:color="auto"/>
      </w:pBdr>
      <w:tabs>
        <w:tab w:val="clear" w:pos="4513"/>
        <w:tab w:val="clear" w:pos="9027"/>
      </w:tabs>
      <w:jc w:val="center"/>
    </w:pPr>
    <w:r w:rsidRPr="002F6A28">
      <w:t>tbtSymbol</w:t>
    </w:r>
  </w:p>
  <w:p w:rsidR="009239F7" w:rsidRPr="002F6A28" w:rsidP="009239F7" w14:paraId="45203BCB" w14:textId="77777777">
    <w:pPr>
      <w:pStyle w:val="Header"/>
      <w:pBdr>
        <w:bottom w:val="single" w:sz="4" w:space="1" w:color="auto"/>
      </w:pBdr>
      <w:tabs>
        <w:tab w:val="clear" w:pos="4513"/>
        <w:tab w:val="clear" w:pos="9027"/>
      </w:tabs>
      <w:jc w:val="center"/>
    </w:pPr>
  </w:p>
  <w:p w:rsidR="009239F7" w:rsidRPr="002F6A28" w:rsidP="009239F7" w14:paraId="00A2B81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D7DCA1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114B799" w14:textId="77777777">
    <w:pPr>
      <w:pStyle w:val="Header"/>
      <w:pBdr>
        <w:bottom w:val="single" w:sz="4" w:space="1" w:color="auto"/>
      </w:pBdr>
      <w:tabs>
        <w:tab w:val="clear" w:pos="4513"/>
        <w:tab w:val="clear" w:pos="9027"/>
      </w:tabs>
      <w:jc w:val="center"/>
    </w:pPr>
    <w:bookmarkStart w:id="0" w:name="spsSymbolHeader"/>
    <w:r w:rsidRPr="002F6A28">
      <w:t>G/TBT/N/EGY/543</w:t>
    </w:r>
    <w:bookmarkEnd w:id="0"/>
  </w:p>
  <w:p w:rsidR="009239F7" w:rsidRPr="002F6A28" w:rsidP="009239F7" w14:paraId="42D44D96" w14:textId="77777777">
    <w:pPr>
      <w:pStyle w:val="Header"/>
      <w:pBdr>
        <w:bottom w:val="single" w:sz="4" w:space="1" w:color="auto"/>
      </w:pBdr>
      <w:tabs>
        <w:tab w:val="clear" w:pos="4513"/>
        <w:tab w:val="clear" w:pos="9027"/>
      </w:tabs>
      <w:jc w:val="center"/>
    </w:pPr>
  </w:p>
  <w:p w:rsidR="009239F7" w:rsidRPr="002F6A28" w:rsidP="009239F7" w14:paraId="65B147A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D16116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5C1DB0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7316A3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DC4E63E" w14:textId="77777777">
          <w:pPr>
            <w:jc w:val="right"/>
            <w:rPr>
              <w:b/>
              <w:color w:val="FF0000"/>
              <w:szCs w:val="16"/>
            </w:rPr>
          </w:pPr>
        </w:p>
      </w:tc>
    </w:tr>
    <w:bookmarkEnd w:id="1"/>
    <w:tr w14:paraId="7060514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8FD456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75B9B44" w14:textId="77777777">
          <w:pPr>
            <w:jc w:val="right"/>
            <w:rPr>
              <w:b/>
              <w:szCs w:val="16"/>
            </w:rPr>
          </w:pPr>
        </w:p>
      </w:tc>
    </w:tr>
    <w:tr w14:paraId="34CA1D0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A1BC96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709FA09" w14:textId="77777777">
          <w:pPr>
            <w:jc w:val="right"/>
            <w:rPr>
              <w:b/>
              <w:szCs w:val="16"/>
            </w:rPr>
          </w:pPr>
          <w:bookmarkStart w:id="2" w:name="bmkSymbols"/>
          <w:r w:rsidRPr="002F6A28">
            <w:rPr>
              <w:b/>
              <w:szCs w:val="16"/>
            </w:rPr>
            <w:t>G/TBT/N/EGY/543</w:t>
          </w:r>
          <w:bookmarkEnd w:id="2"/>
        </w:p>
      </w:tc>
    </w:tr>
    <w:tr w14:paraId="544925D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8C7CB97" w14:textId="77777777"/>
      </w:tc>
      <w:tc>
        <w:tcPr>
          <w:tcW w:w="5448" w:type="dxa"/>
          <w:gridSpan w:val="2"/>
          <w:shd w:val="clear" w:color="auto" w:fill="FFFFFF"/>
          <w:tcMar>
            <w:left w:w="108" w:type="dxa"/>
            <w:right w:w="108" w:type="dxa"/>
          </w:tcMar>
          <w:vAlign w:val="center"/>
        </w:tcPr>
        <w:p w:rsidR="00ED54E0" w:rsidRPr="009239F7" w:rsidP="00B801E9" w14:paraId="33DA2EFB" w14:textId="77777777">
          <w:pPr>
            <w:jc w:val="right"/>
            <w:rPr>
              <w:szCs w:val="16"/>
            </w:rPr>
          </w:pPr>
          <w:bookmarkStart w:id="3" w:name="spsDateDistribution"/>
          <w:bookmarkStart w:id="4" w:name="bmkDate"/>
          <w:r w:rsidRPr="009239F7">
            <w:rPr>
              <w:szCs w:val="16"/>
            </w:rPr>
            <w:t>23 April 2025</w:t>
          </w:r>
          <w:bookmarkEnd w:id="3"/>
          <w:bookmarkEnd w:id="4"/>
        </w:p>
      </w:tc>
    </w:tr>
    <w:tr w14:paraId="4E1BB94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53D1D45" w14:textId="77777777">
          <w:pPr>
            <w:jc w:val="left"/>
            <w:rPr>
              <w:b/>
            </w:rPr>
          </w:pPr>
          <w:bookmarkStart w:id="5" w:name="bmkSerial"/>
          <w:r>
            <w:rPr>
              <w:b w:val="0"/>
              <w:color w:val="FF0000"/>
            </w:rPr>
            <w:t>(25-2788)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4989F1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FE33F0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89EB72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BE5F48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BF4E0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71722802">
    <w:abstractNumId w:val="9"/>
  </w:num>
  <w:num w:numId="2" w16cid:durableId="1543900382">
    <w:abstractNumId w:val="7"/>
  </w:num>
  <w:num w:numId="3" w16cid:durableId="36200741">
    <w:abstractNumId w:val="6"/>
  </w:num>
  <w:num w:numId="4" w16cid:durableId="458190443">
    <w:abstractNumId w:val="5"/>
  </w:num>
  <w:num w:numId="5" w16cid:durableId="209534325">
    <w:abstractNumId w:val="4"/>
  </w:num>
  <w:num w:numId="6" w16cid:durableId="1374303191">
    <w:abstractNumId w:val="12"/>
  </w:num>
  <w:num w:numId="7" w16cid:durableId="86078579">
    <w:abstractNumId w:val="11"/>
  </w:num>
  <w:num w:numId="8" w16cid:durableId="256790804">
    <w:abstractNumId w:val="10"/>
  </w:num>
  <w:num w:numId="9" w16cid:durableId="1094404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413309">
    <w:abstractNumId w:val="13"/>
  </w:num>
  <w:num w:numId="11" w16cid:durableId="645745673">
    <w:abstractNumId w:val="8"/>
  </w:num>
  <w:num w:numId="12" w16cid:durableId="247078539">
    <w:abstractNumId w:val="3"/>
  </w:num>
  <w:num w:numId="13" w16cid:durableId="1722434022">
    <w:abstractNumId w:val="2"/>
  </w:num>
  <w:num w:numId="14" w16cid:durableId="2114813553">
    <w:abstractNumId w:val="1"/>
  </w:num>
  <w:num w:numId="15" w16cid:durableId="174097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0326"/>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23CD"/>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16C54"/>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0EE"/>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964C8"/>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2732D"/>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7EB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540B507-60FC-4B6D-9528-5703CBB0296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365</Words>
  <Characters>2067</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2025-04-23T13:11:00Z</dcterms:created>
  <dcterms:modified xsi:type="dcterms:W3CDTF">2025-04-23T13:30:00Z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