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3AEFD0EC" w14:textId="77777777">
      <w:pPr>
        <w:pStyle w:val="Title"/>
        <w:rPr>
          <w:caps w:val="0"/>
          <w:kern w:val="0"/>
        </w:rPr>
      </w:pPr>
      <w:r>
        <w:rPr>
          <w:caps w:val="0"/>
        </w:rPr>
        <w:t>NOTIFICATION</w:t>
      </w:r>
    </w:p>
    <w:p w:rsidR="00D67386" w:rsidRPr="009D7E91" w:rsidP="009D7E91" w14:paraId="1D2EBB96" w14:textId="77777777">
      <w:pPr>
        <w:jc w:val="center"/>
      </w:pPr>
      <w:r>
        <w:t>The following notification is being circulated in accordance with Article 10.6.</w:t>
      </w:r>
    </w:p>
    <w:p w:rsidR="00D67386" w:rsidRPr="009D7E91" w:rsidP="009D7E91" w14:paraId="24DF38C5"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753ADB10"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229197CA"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4678D907" w14:textId="77777777">
            <w:pPr>
              <w:spacing w:before="120" w:after="120"/>
            </w:pPr>
            <w:r>
              <w:rPr>
                <w:b/>
              </w:rPr>
              <w:t>Notifying Member:</w:t>
            </w:r>
            <w:r>
              <w:t xml:space="preserve"> </w:t>
            </w:r>
            <w:r>
              <w:rPr>
                <w:u w:val="single"/>
              </w:rPr>
              <w:t>CABO VERDE</w:t>
            </w:r>
          </w:p>
          <w:p w:rsidR="008D58AD" w:rsidRPr="009D7E91" w:rsidP="009D7E91" w14:paraId="252AC7AC" w14:textId="77777777">
            <w:pPr>
              <w:spacing w:after="120"/>
            </w:pPr>
            <w:r>
              <w:rPr>
                <w:b/>
              </w:rPr>
              <w:t>If applicable, name of local government involved (Articles 3.2 and 7.2):</w:t>
            </w:r>
            <w:r>
              <w:t xml:space="preserve"> </w:t>
            </w:r>
          </w:p>
        </w:tc>
      </w:tr>
      <w:tr w14:paraId="583E048E"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DF2DCE3"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1910D5D8" w14:textId="77777777">
            <w:pPr>
              <w:spacing w:before="120" w:after="120"/>
              <w:rPr>
                <w:bCs/>
              </w:rPr>
            </w:pPr>
            <w:r>
              <w:rPr>
                <w:b/>
              </w:rPr>
              <w:t>Agency responsible:</w:t>
            </w:r>
            <w:r>
              <w:t xml:space="preserve"> </w:t>
            </w:r>
          </w:p>
          <w:p w:rsidR="006F55D1" w:rsidRPr="009D7E91" w:rsidP="006C14E7" w14:paraId="35E8902B"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35EF8D26"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2F5A4A" w:rsidP="00064E8E" w14:paraId="63748A59" w14:textId="77777777">
            <w:r>
              <w:rPr>
                <w:i/>
                <w:iCs/>
              </w:rPr>
              <w:t>Direção</w:t>
            </w:r>
            <w:r>
              <w:rPr>
                <w:i/>
                <w:iCs/>
              </w:rPr>
              <w:t xml:space="preserve"> Nacional da Indústria, Comércio e Energia</w:t>
            </w:r>
            <w:r>
              <w:t xml:space="preserve"> (National Directorate for Industry, Trade and Energy)</w:t>
            </w:r>
          </w:p>
          <w:p w:rsidR="00CB44EC" w:rsidRPr="005469C3" w:rsidP="00064E8E" w14:paraId="4206C83E" w14:textId="6B1D7092">
            <w:r>
              <w:rPr>
                <w:i/>
                <w:iCs/>
              </w:rPr>
              <w:t xml:space="preserve">Point </w:t>
            </w:r>
            <w:r>
              <w:rPr>
                <w:i/>
                <w:iCs/>
              </w:rPr>
              <w:t>d'information</w:t>
            </w:r>
            <w:r>
              <w:rPr>
                <w:i/>
                <w:iCs/>
              </w:rPr>
              <w:t xml:space="preserve"> sur les OTC</w:t>
            </w:r>
            <w:r>
              <w:t xml:space="preserve"> (TBT Enquiry Point)</w:t>
            </w:r>
          </w:p>
          <w:p w:rsidR="00CB44EC" w:rsidRPr="005469C3" w:rsidP="00064E8E" w14:paraId="193CB969" w14:textId="77777777">
            <w:r>
              <w:t>Telephone: (+238) 2604800</w:t>
            </w:r>
          </w:p>
          <w:p w:rsidR="00CB44EC" w:rsidRPr="005469C3" w:rsidP="00064E8E" w14:paraId="49A19E2D"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57DF53C6"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E419E1D"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165BB945" w14:textId="77777777">
            <w:pPr>
              <w:spacing w:before="120" w:after="120"/>
            </w:pPr>
            <w:r>
              <w:rPr>
                <w:b/>
              </w:rPr>
              <w:t>Notified under Article 2.9.2 [X], 2.10.1 [ ], 5.6.2 [ ], 5.7.1 [ ], 3.2 [ ], 7.2 [ ], other:</w:t>
            </w:r>
            <w:r>
              <w:t xml:space="preserve"> </w:t>
            </w:r>
          </w:p>
        </w:tc>
      </w:tr>
      <w:tr w14:paraId="553BA810"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D9DA640"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13FFBE7E" w14:textId="77777777">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Fuels for vehicles and industrial use (HS code(s): 2710)</w:t>
            </w:r>
          </w:p>
        </w:tc>
      </w:tr>
      <w:tr w14:paraId="3B5AD686"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CAB41CE"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01086D6E" w14:textId="77777777">
            <w:pPr>
              <w:spacing w:before="120" w:after="120"/>
            </w:pPr>
            <w:r>
              <w:rPr>
                <w:b/>
              </w:rPr>
              <w:t>Title, number of pages and language(s) of the notified document:</w:t>
            </w:r>
            <w:r>
              <w:t xml:space="preserve"> </w:t>
            </w:r>
            <w:r>
              <w:rPr>
                <w:i/>
              </w:rPr>
              <w:t xml:space="preserve">Ordonnance </w:t>
            </w:r>
            <w:r>
              <w:rPr>
                <w:i/>
              </w:rPr>
              <w:t>conjointe</w:t>
            </w:r>
            <w:r>
              <w:rPr>
                <w:i/>
              </w:rPr>
              <w:t xml:space="preserve"> nº 11/2006 du 6 </w:t>
            </w:r>
            <w:r>
              <w:rPr>
                <w:i/>
              </w:rPr>
              <w:t>février</w:t>
            </w:r>
            <w:r>
              <w:rPr>
                <w:i/>
              </w:rPr>
              <w:t xml:space="preserve"> 2006, </w:t>
            </w:r>
            <w:r>
              <w:rPr>
                <w:i/>
              </w:rPr>
              <w:t>réglementant</w:t>
            </w:r>
            <w:r>
              <w:rPr>
                <w:i/>
              </w:rPr>
              <w:t xml:space="preserve"> </w:t>
            </w:r>
            <w:r>
              <w:rPr>
                <w:i/>
              </w:rPr>
              <w:t>l'introduction</w:t>
            </w:r>
            <w:r>
              <w:rPr>
                <w:i/>
              </w:rPr>
              <w:t xml:space="preserve"> des combustibles pour </w:t>
            </w:r>
            <w:r>
              <w:rPr>
                <w:i/>
              </w:rPr>
              <w:t>consommation</w:t>
            </w:r>
            <w:r>
              <w:t xml:space="preserve"> (Joint Order No. 11/2006 of 6 February 2006 regulating the introduction of fuels for use) (3 pages, in Portuguese)</w:t>
            </w:r>
          </w:p>
        </w:tc>
      </w:tr>
      <w:tr w14:paraId="3B22EEE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26E4AA0D"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2D5C6BB9" w14:textId="77777777">
            <w:pPr>
              <w:spacing w:before="120" w:after="120"/>
            </w:pPr>
            <w:r>
              <w:rPr>
                <w:b/>
              </w:rPr>
              <w:t>Description of content:</w:t>
            </w:r>
            <w:r>
              <w:t xml:space="preserve"> The notified Order establishes the technical requirements for fuels, including: </w:t>
            </w:r>
          </w:p>
          <w:p w:rsidR="006F55D1" w:rsidRPr="009D7E91" w:rsidP="009D7E91" w14:paraId="4D9D581F" w14:textId="77777777">
            <w:pPr>
              <w:spacing w:before="120" w:after="120"/>
            </w:pPr>
            <w:r>
              <w:t>Physico</w:t>
            </w:r>
            <w:r>
              <w:t>-chemical properties:</w:t>
            </w:r>
          </w:p>
          <w:p w:rsidR="006F55D1" w:rsidRPr="009D7E91" w:rsidP="009D7E91" w14:paraId="284A74C8" w14:textId="77777777">
            <w:pPr>
              <w:spacing w:before="120" w:after="120"/>
            </w:pPr>
            <w:r>
              <w:t xml:space="preserve">- Petrol (EN 228:1999): </w:t>
            </w:r>
            <w:r>
              <w:t>Octane number (RON min. 95), sulphur content (max. 50 mg/kg), oxidation stability</w:t>
            </w:r>
          </w:p>
          <w:p w:rsidR="006F55D1" w:rsidRPr="009D7E91" w:rsidP="009D7E91" w14:paraId="4B6ED620" w14:textId="0D1124EE">
            <w:pPr>
              <w:spacing w:before="120" w:after="120"/>
            </w:pPr>
            <w:r>
              <w:t>- Diesel (EN 590:1999): Cetane number</w:t>
            </w:r>
            <w:r>
              <w:t xml:space="preserve"> (min. 51), flash point (min. 55°C), sulphur content (max. 10 mg/kg)</w:t>
            </w:r>
          </w:p>
          <w:p w:rsidR="006F55D1" w:rsidRPr="009D7E91" w:rsidP="009D7E91" w14:paraId="76196FAD" w14:textId="77777777">
            <w:pPr>
              <w:spacing w:before="120" w:after="120"/>
            </w:pPr>
            <w:r>
              <w:t>Safety and quality:</w:t>
            </w:r>
          </w:p>
          <w:p w:rsidR="006F55D1" w:rsidRPr="009D7E91" w:rsidP="009D7E91" w14:paraId="48DE28D2" w14:textId="1A5E2A6C">
            <w:pPr>
              <w:spacing w:before="120" w:after="120"/>
            </w:pPr>
            <w:r>
              <w:t>- Additive control (</w:t>
            </w:r>
            <w:r>
              <w:t>metallic compounds prohibited</w:t>
            </w:r>
            <w:r>
              <w:t>)</w:t>
            </w:r>
          </w:p>
          <w:p w:rsidR="006F55D1" w:rsidRPr="009D7E91" w:rsidP="009D7E91" w14:paraId="0DD0EC90" w14:textId="77777777">
            <w:pPr>
              <w:spacing w:before="120" w:after="120"/>
            </w:pPr>
            <w:r>
              <w:t>- Limit on impurities (water, sediments)</w:t>
            </w:r>
          </w:p>
          <w:p w:rsidR="006F55D1" w:rsidRPr="009D7E91" w:rsidP="009D7E91" w14:paraId="231015D9" w14:textId="77777777">
            <w:pPr>
              <w:spacing w:before="120" w:after="120"/>
            </w:pPr>
            <w:r>
              <w:t xml:space="preserve">Test methods: European norms (EN) or equivalent methods approved by the </w:t>
            </w:r>
            <w:r>
              <w:t>DGIE</w:t>
            </w:r>
          </w:p>
        </w:tc>
      </w:tr>
      <w:tr w14:paraId="142D9D72"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46335820"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2F5A4A" w:rsidP="00305401" w14:paraId="4CAA7138" w14:textId="77777777">
            <w:pPr>
              <w:spacing w:before="120" w:after="120"/>
            </w:pPr>
            <w:r>
              <w:rPr>
                <w:b/>
              </w:rPr>
              <w:t>Objective and rationale, including the nature of urgent problems where applicable:</w:t>
            </w:r>
            <w:r>
              <w:t xml:space="preserve"> </w:t>
            </w:r>
          </w:p>
          <w:p w:rsidR="008D58AD" w:rsidRPr="009D7E91" w:rsidP="00305401" w14:paraId="3AC89F6A" w14:textId="298E2191">
            <w:pPr>
              <w:spacing w:before="120" w:after="120"/>
            </w:pPr>
            <w:r>
              <w:t>- Ensure the conformity of fuels with quality and safety standards</w:t>
            </w:r>
          </w:p>
          <w:p w:rsidR="00E1308D" w:rsidRPr="009D7E91" w:rsidP="00305401" w14:paraId="3D986C8A" w14:textId="77777777">
            <w:pPr>
              <w:spacing w:before="120" w:after="120"/>
            </w:pPr>
            <w:r>
              <w:t>- Protect consumers against fraud and health risks</w:t>
            </w:r>
          </w:p>
          <w:p w:rsidR="00E1308D" w:rsidRPr="009D7E91" w:rsidP="00305401" w14:paraId="1B88CB78" w14:textId="77777777">
            <w:pPr>
              <w:spacing w:before="120" w:after="120"/>
            </w:pPr>
            <w:r>
              <w:t>- Regional harmonization with international standards (ECOWAS/EU)</w:t>
            </w:r>
          </w:p>
          <w:p w:rsidR="002F5A4A" w:rsidP="00305401" w14:paraId="721EFAA3" w14:textId="77777777">
            <w:pPr>
              <w:spacing w:before="120" w:after="120"/>
            </w:pPr>
            <w:r>
              <w:t xml:space="preserve">- Environment: Reduce polluting emissions (sulphur, particles) </w:t>
            </w:r>
          </w:p>
          <w:p w:rsidR="00E1308D" w:rsidRPr="009D7E91" w:rsidP="00305401" w14:paraId="69F26C32" w14:textId="41C65E5D">
            <w:pPr>
              <w:spacing w:before="120" w:after="120"/>
            </w:pPr>
            <w:r>
              <w:t>Prevention of deceptive practices and consumer protection; Protection of the environment; Quality requirements; Harmonization; Cost saving and productivity enhancement</w:t>
            </w:r>
          </w:p>
        </w:tc>
      </w:tr>
      <w:tr w14:paraId="7145BFA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34FDEBBE"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0C499CE3" w14:textId="77777777">
            <w:pPr>
              <w:spacing w:before="120" w:after="120"/>
            </w:pPr>
            <w:r>
              <w:rPr>
                <w:b/>
              </w:rPr>
              <w:t>Relevant documents:</w:t>
            </w:r>
            <w:r>
              <w:t xml:space="preserve"> </w:t>
            </w:r>
          </w:p>
          <w:p w:rsidR="006F55D1" w:rsidRPr="009D7E91" w:rsidP="001348DC" w14:paraId="7F14612A" w14:textId="77777777">
            <w:pPr>
              <w:spacing w:before="120" w:after="120"/>
            </w:pPr>
            <w:hyperlink r:id="rId6" w:history="1">
              <w:r>
                <w:rPr>
                  <w:color w:val="0000FF"/>
                  <w:u w:val="single"/>
                </w:rPr>
                <w:t>https://boe.incv.cv/Bulletins/Details/A2006/S1/BO6/399</w:t>
              </w:r>
            </w:hyperlink>
          </w:p>
          <w:p w:rsidR="006F55D1" w:rsidRPr="009D7E91" w:rsidP="001348DC" w14:paraId="4BE08B02" w14:textId="77777777">
            <w:pPr>
              <w:spacing w:before="120" w:after="120"/>
            </w:pPr>
            <w:r>
              <w:rPr>
                <w:i/>
              </w:rPr>
              <w:t xml:space="preserve">Ordonnance </w:t>
            </w:r>
            <w:r>
              <w:rPr>
                <w:i/>
              </w:rPr>
              <w:t>conjointe</w:t>
            </w:r>
            <w:r>
              <w:rPr>
                <w:i/>
              </w:rPr>
              <w:t xml:space="preserve"> nº 71/2005 du 26 </w:t>
            </w:r>
            <w:r>
              <w:rPr>
                <w:i/>
              </w:rPr>
              <w:t>décembre</w:t>
            </w:r>
          </w:p>
          <w:p w:rsidR="006F55D1" w:rsidRPr="009D7E91" w:rsidP="001348DC" w14:paraId="0041A439" w14:textId="77777777">
            <w:pPr>
              <w:spacing w:before="120" w:after="120"/>
            </w:pPr>
            <w:r>
              <w:rPr>
                <w:i/>
              </w:rPr>
              <w:t>Arrêté</w:t>
            </w:r>
            <w:r>
              <w:rPr>
                <w:i/>
              </w:rPr>
              <w:t xml:space="preserve"> n° 70/2005 du 26 </w:t>
            </w:r>
            <w:r>
              <w:rPr>
                <w:i/>
              </w:rPr>
              <w:t>décembre</w:t>
            </w:r>
          </w:p>
        </w:tc>
      </w:tr>
      <w:tr w14:paraId="352BD8D3"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1BD726B2"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27F42A3F" w14:textId="77777777">
            <w:pPr>
              <w:spacing w:before="120" w:after="120"/>
              <w:ind w:left="34"/>
              <w:rPr>
                <w:bCs/>
              </w:rPr>
            </w:pPr>
            <w:r>
              <w:rPr>
                <w:b/>
              </w:rPr>
              <w:t>Proposed date of adoption:</w:t>
            </w:r>
            <w:r>
              <w:t xml:space="preserve"> 7 February 2006</w:t>
            </w:r>
          </w:p>
          <w:p w:rsidR="006F55D1" w:rsidRPr="009D7E91" w:rsidP="009B0524" w14:paraId="5D057379" w14:textId="77777777">
            <w:pPr>
              <w:spacing w:after="120"/>
              <w:ind w:left="34"/>
              <w:rPr>
                <w:b/>
              </w:rPr>
            </w:pPr>
            <w:r>
              <w:rPr>
                <w:b/>
              </w:rPr>
              <w:t>Proposed date of entry into force:</w:t>
            </w:r>
            <w:r>
              <w:t xml:space="preserve"> 7 February 2006</w:t>
            </w:r>
          </w:p>
        </w:tc>
      </w:tr>
      <w:tr w14:paraId="77FF8545"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E29F7C2"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5B12B6E6" w14:textId="77777777">
            <w:pPr>
              <w:spacing w:before="120" w:after="120"/>
            </w:pPr>
            <w:r>
              <w:rPr>
                <w:b/>
              </w:rPr>
              <w:t>Final date for comments:</w:t>
            </w:r>
            <w:r>
              <w:t xml:space="preserve"> Not applicable; Regulation already in force, which had not been notified in time.</w:t>
            </w:r>
          </w:p>
        </w:tc>
      </w:tr>
      <w:tr w14:paraId="2061E8E2"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20A8A19A"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004C5C67"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2F5A4A" w:rsidP="00481B71" w14:paraId="21B1D768" w14:textId="77777777">
            <w:pPr>
              <w:keepNext/>
              <w:keepLines/>
            </w:pPr>
            <w:r>
              <w:rPr>
                <w:i/>
                <w:iCs/>
              </w:rPr>
              <w:t>Direção</w:t>
            </w:r>
            <w:r>
              <w:rPr>
                <w:i/>
                <w:iCs/>
              </w:rPr>
              <w:t xml:space="preserve"> Nacional da Indústria, Comércio e Energia</w:t>
            </w:r>
            <w:r>
              <w:t xml:space="preserve"> (National Directorate for Industry, Trade and Energy)</w:t>
            </w:r>
          </w:p>
          <w:p w:rsidR="006F55D1" w:rsidRPr="009D7E91" w:rsidP="00481B71" w14:paraId="0C818B87" w14:textId="01D69F81">
            <w:pPr>
              <w:keepNext/>
              <w:keepLines/>
            </w:pPr>
            <w:r>
              <w:rPr>
                <w:i/>
                <w:iCs/>
              </w:rPr>
              <w:t xml:space="preserve">Direction du Service de </w:t>
            </w:r>
            <w:r>
              <w:rPr>
                <w:i/>
                <w:iCs/>
              </w:rPr>
              <w:t>l'Energie</w:t>
            </w:r>
            <w:r>
              <w:t xml:space="preserve"> (Energy Service Directorate) or</w:t>
            </w:r>
          </w:p>
          <w:p w:rsidR="002F5A4A" w:rsidP="00481B71" w14:paraId="28A8153E"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60D25EAF" w14:textId="50BE1E95">
            <w:pPr>
              <w:keepNext/>
              <w:keepLines/>
            </w:pPr>
            <w:r>
              <w:t>Telephone: (+238) 2604800</w:t>
            </w:r>
          </w:p>
          <w:p w:rsidR="006F55D1" w:rsidRPr="009D7E91" w:rsidP="00481B71" w14:paraId="018740FA"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RPr="009D7E91" w:rsidP="00481B71" w14:paraId="3CD4601B" w14:textId="77777777">
            <w:pPr>
              <w:keepNext/>
              <w:keepLines/>
            </w:pPr>
            <w:hyperlink r:id="rId6" w:tgtFrame="_blank" w:history="1">
              <w:r>
                <w:rPr>
                  <w:color w:val="0000FF"/>
                  <w:u w:val="single"/>
                </w:rPr>
                <w:t>https://boe.incv.cv/Bulletins/Details/A2006/S1/BO6/399</w:t>
              </w:r>
            </w:hyperlink>
          </w:p>
          <w:p w:rsidR="006F55D1" w:rsidRPr="009D7E91" w:rsidP="00481B71" w14:paraId="3A77C8DF" w14:textId="77777777">
            <w:pPr>
              <w:keepNext/>
              <w:keepLines/>
              <w:pBdr>
                <w:top w:val="none" w:sz="0" w:space="4" w:color="auto"/>
              </w:pBdr>
              <w:spacing w:after="120"/>
            </w:pPr>
            <w:hyperlink r:id="rId7" w:tgtFrame="_blank" w:history="1">
              <w:r>
                <w:rPr>
                  <w:color w:val="0000FF"/>
                  <w:u w:val="single"/>
                </w:rPr>
                <w:t>https://members.wto.org/crnattachments/2025/TBT/CPV/25_03188_00_x.pdf</w:t>
              </w:r>
            </w:hyperlink>
          </w:p>
        </w:tc>
      </w:tr>
    </w:tbl>
    <w:p w:rsidR="006F55D1" w:rsidRPr="009D7E91" w:rsidP="009D7E91" w14:paraId="672FDFB8" w14:textId="77777777"/>
    <w:sectPr w:rsidSect="00AE3C0C">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1D8A3BC6"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0B446B56"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0BC3408F" w14:textId="77777777">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251D870C" w14:textId="77777777">
    <w:pPr>
      <w:pStyle w:val="Header"/>
      <w:pBdr>
        <w:bottom w:val="single" w:sz="4" w:space="1" w:color="auto"/>
      </w:pBdr>
      <w:tabs>
        <w:tab w:val="clear" w:pos="4513"/>
        <w:tab w:val="clear" w:pos="9027"/>
      </w:tabs>
      <w:jc w:val="center"/>
    </w:pPr>
    <w:r>
      <w:t>tbtSymbol</w:t>
    </w:r>
  </w:p>
  <w:p w:rsidR="00D67386" w:rsidRPr="009D7E91" w:rsidP="00D67386" w14:paraId="78D28DD4" w14:textId="77777777">
    <w:pPr>
      <w:pStyle w:val="Header"/>
      <w:pBdr>
        <w:bottom w:val="single" w:sz="4" w:space="1" w:color="auto"/>
      </w:pBdr>
      <w:tabs>
        <w:tab w:val="clear" w:pos="4513"/>
        <w:tab w:val="clear" w:pos="9027"/>
      </w:tabs>
      <w:jc w:val="center"/>
    </w:pPr>
  </w:p>
  <w:p w:rsidR="00D67386" w:rsidRPr="009D7E91" w:rsidP="00D67386" w14:paraId="4098003E"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p w:rsidR="00D67386" w:rsidRPr="009D7E91" w:rsidP="00D67386" w14:paraId="224E18AD"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35823BF3" w14:textId="77777777">
    <w:pPr>
      <w:pStyle w:val="Header"/>
      <w:pBdr>
        <w:bottom w:val="single" w:sz="4" w:space="1" w:color="auto"/>
      </w:pBdr>
      <w:tabs>
        <w:tab w:val="clear" w:pos="4513"/>
        <w:tab w:val="clear" w:pos="9027"/>
      </w:tabs>
      <w:jc w:val="center"/>
    </w:pPr>
    <w:bookmarkStart w:id="0" w:name="spsSymbolHeader"/>
    <w:r>
      <w:t>G/TBT/N/</w:t>
    </w:r>
    <w:r>
      <w:t>CPV</w:t>
    </w:r>
    <w:r>
      <w:t>/8</w:t>
    </w:r>
    <w:bookmarkEnd w:id="0"/>
  </w:p>
  <w:p w:rsidR="00D67386" w:rsidRPr="009D7E91" w:rsidP="00D67386" w14:paraId="6042B9C9" w14:textId="77777777">
    <w:pPr>
      <w:pStyle w:val="Header"/>
      <w:pBdr>
        <w:bottom w:val="single" w:sz="4" w:space="1" w:color="auto"/>
      </w:pBdr>
      <w:tabs>
        <w:tab w:val="clear" w:pos="4513"/>
        <w:tab w:val="clear" w:pos="9027"/>
      </w:tabs>
      <w:jc w:val="center"/>
    </w:pPr>
  </w:p>
  <w:p w:rsidR="00D67386" w:rsidRPr="009D7E91" w:rsidP="00D67386" w14:paraId="7ADE2C0F"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p w:rsidR="00DD65B2" w:rsidRPr="009D7E91" w:rsidP="00D67386" w14:paraId="384D25B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0DF004A8" w14:textId="77777777" w:rsidTr="002F5A4A">
      <w:tblPrEx>
        <w:tblW w:w="5000" w:type="pct"/>
        <w:jc w:val="center"/>
        <w:tblLook w:val="04A0"/>
      </w:tblPrEx>
      <w:trPr>
        <w:trHeight w:val="240"/>
        <w:jc w:val="center"/>
      </w:trPr>
      <w:tc>
        <w:tcPr>
          <w:tcW w:w="2053" w:type="pct"/>
          <w:shd w:val="clear" w:color="auto" w:fill="auto"/>
          <w:tcMar>
            <w:left w:w="108" w:type="dxa"/>
            <w:right w:w="108" w:type="dxa"/>
          </w:tcMar>
          <w:vAlign w:val="center"/>
        </w:tcPr>
        <w:p w:rsidR="002F5A4A" w:rsidRPr="002F5A4A" w:rsidP="00703F81" w14:paraId="177F5CE4" w14:textId="77777777">
          <w:pPr>
            <w:rPr>
              <w:rFonts w:eastAsia="Verdana" w:cs="Verdana"/>
              <w:noProof/>
              <w:szCs w:val="18"/>
              <w:lang w:eastAsia="en-GB"/>
            </w:rPr>
          </w:pPr>
          <w:bookmarkStart w:id="1" w:name="bmkRestricted" w:colFirst="1" w:colLast="1"/>
          <w:bookmarkStart w:id="2" w:name="bmkMasthead"/>
        </w:p>
      </w:tc>
      <w:tc>
        <w:tcPr>
          <w:tcW w:w="2947" w:type="pct"/>
          <w:gridSpan w:val="2"/>
          <w:shd w:val="clear" w:color="auto" w:fill="auto"/>
          <w:tcMar>
            <w:left w:w="108" w:type="dxa"/>
            <w:right w:w="108" w:type="dxa"/>
          </w:tcMar>
          <w:vAlign w:val="center"/>
        </w:tcPr>
        <w:p w:rsidR="002F5A4A" w:rsidRPr="002F5A4A" w:rsidP="00703F81" w14:paraId="0C1B49EF" w14:textId="77777777">
          <w:pPr>
            <w:jc w:val="right"/>
            <w:rPr>
              <w:rFonts w:eastAsia="Verdana" w:cs="Verdana"/>
              <w:b/>
              <w:color w:val="FF0000"/>
              <w:szCs w:val="18"/>
            </w:rPr>
          </w:pPr>
        </w:p>
      </w:tc>
    </w:tr>
    <w:tr w14:paraId="1D1D2589" w14:textId="77777777" w:rsidTr="002F5A4A">
      <w:tblPrEx>
        <w:tblW w:w="5000" w:type="pct"/>
        <w:jc w:val="center"/>
        <w:tblLook w:val="04A0"/>
      </w:tblPrEx>
      <w:trPr>
        <w:trHeight w:val="213"/>
        <w:jc w:val="center"/>
      </w:trPr>
      <w:tc>
        <w:tcPr>
          <w:tcW w:w="2053" w:type="pct"/>
          <w:vMerge w:val="restart"/>
          <w:shd w:val="clear" w:color="auto" w:fill="auto"/>
          <w:tcMar>
            <w:left w:w="0" w:type="dxa"/>
            <w:right w:w="0" w:type="dxa"/>
          </w:tcMar>
        </w:tcPr>
        <w:p w:rsidR="002F5A4A" w:rsidRPr="002F5A4A" w:rsidP="00703F81" w14:paraId="4BEF68AA" w14:textId="184441D7">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1879428042" name="Picture 1"/>
                <wp:cNvGraphicFramePr/>
                <a:graphic xmlns:a="http://schemas.openxmlformats.org/drawingml/2006/main">
                  <a:graphicData uri="http://schemas.openxmlformats.org/drawingml/2006/picture">
                    <pic:pic xmlns:pic="http://schemas.openxmlformats.org/drawingml/2006/picture">
                      <pic:nvPicPr>
                        <pic:cNvPr id="1879428042"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2F5A4A" w:rsidRPr="002F5A4A" w:rsidP="00703F81" w14:paraId="3A8F0E1C" w14:textId="77777777">
          <w:pPr>
            <w:jc w:val="right"/>
            <w:rPr>
              <w:rFonts w:eastAsia="Verdana" w:cs="Verdana"/>
              <w:b/>
              <w:szCs w:val="18"/>
            </w:rPr>
          </w:pPr>
        </w:p>
      </w:tc>
    </w:tr>
    <w:tr w14:paraId="71CCF730" w14:textId="77777777" w:rsidTr="002F5A4A">
      <w:tblPrEx>
        <w:tblW w:w="5000" w:type="pct"/>
        <w:jc w:val="center"/>
        <w:tblLook w:val="04A0"/>
      </w:tblPrEx>
      <w:trPr>
        <w:trHeight w:val="868"/>
        <w:jc w:val="center"/>
      </w:trPr>
      <w:tc>
        <w:tcPr>
          <w:tcW w:w="2053" w:type="pct"/>
          <w:vMerge/>
          <w:shd w:val="clear" w:color="auto" w:fill="auto"/>
          <w:tcMar>
            <w:left w:w="108" w:type="dxa"/>
            <w:right w:w="108" w:type="dxa"/>
          </w:tcMar>
        </w:tcPr>
        <w:p w:rsidR="002F5A4A" w:rsidRPr="002F5A4A" w:rsidP="00703F81" w14:paraId="0235B8B0" w14:textId="77777777">
          <w:pPr>
            <w:jc w:val="left"/>
            <w:rPr>
              <w:rFonts w:eastAsia="Verdana" w:cs="Verdana"/>
              <w:noProof/>
              <w:szCs w:val="18"/>
              <w:lang w:eastAsia="en-GB"/>
            </w:rPr>
          </w:pPr>
          <w:bookmarkStart w:id="4" w:name="bmkSymbols" w:colFirst="1" w:colLast="1"/>
          <w:bookmarkEnd w:id="3"/>
        </w:p>
      </w:tc>
      <w:tc>
        <w:tcPr>
          <w:tcW w:w="2947" w:type="pct"/>
          <w:gridSpan w:val="2"/>
          <w:shd w:val="clear" w:color="auto" w:fill="auto"/>
          <w:tcMar>
            <w:left w:w="108" w:type="dxa"/>
            <w:right w:w="108" w:type="dxa"/>
          </w:tcMar>
        </w:tcPr>
        <w:p w:rsidR="002F5A4A" w:rsidRPr="002F5A4A" w:rsidP="00703F81" w14:paraId="61FAE917" w14:textId="0AF36095">
          <w:pPr>
            <w:jc w:val="right"/>
            <w:rPr>
              <w:rFonts w:eastAsia="Verdana" w:cs="Verdana"/>
              <w:b/>
              <w:szCs w:val="18"/>
            </w:rPr>
          </w:pPr>
          <w:r>
            <w:rPr>
              <w:b/>
              <w:szCs w:val="18"/>
            </w:rPr>
            <w:t>G/TBT/N/</w:t>
          </w:r>
          <w:r>
            <w:rPr>
              <w:b/>
              <w:szCs w:val="18"/>
            </w:rPr>
            <w:t>CPV</w:t>
          </w:r>
          <w:r>
            <w:rPr>
              <w:b/>
              <w:szCs w:val="18"/>
            </w:rPr>
            <w:t>/8</w:t>
          </w:r>
        </w:p>
      </w:tc>
    </w:tr>
    <w:tr w14:paraId="161FEE1B" w14:textId="77777777" w:rsidTr="002F5A4A">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2F5A4A" w:rsidRPr="002F5A4A" w:rsidP="00703F81" w14:paraId="5F33E97E" w14:textId="77777777">
          <w:pPr>
            <w:rPr>
              <w:rFonts w:eastAsia="Verdana" w:cs="Verdana"/>
              <w:szCs w:val="18"/>
            </w:rPr>
          </w:pPr>
          <w:bookmarkEnd w:id="4"/>
        </w:p>
      </w:tc>
      <w:tc>
        <w:tcPr>
          <w:tcW w:w="2947" w:type="pct"/>
          <w:gridSpan w:val="2"/>
          <w:shd w:val="clear" w:color="auto" w:fill="auto"/>
          <w:tcMar>
            <w:left w:w="108" w:type="dxa"/>
            <w:right w:w="108" w:type="dxa"/>
          </w:tcMar>
          <w:vAlign w:val="center"/>
        </w:tcPr>
        <w:p w:rsidR="002F5A4A" w:rsidRPr="002F5A4A" w:rsidP="00703F81" w14:paraId="659166C1" w14:textId="0597A600">
          <w:pPr>
            <w:jc w:val="right"/>
            <w:rPr>
              <w:rFonts w:eastAsia="Verdana" w:cs="Verdana"/>
              <w:szCs w:val="18"/>
            </w:rPr>
          </w:pPr>
          <w:r>
            <w:rPr>
              <w:rFonts w:eastAsia="Verdana" w:cs="Verdana"/>
              <w:szCs w:val="18"/>
            </w:rPr>
            <w:t>7 May 2025</w:t>
          </w:r>
        </w:p>
      </w:tc>
    </w:tr>
    <w:tr w14:paraId="43885622" w14:textId="77777777" w:rsidTr="002F5A4A">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2F5A4A" w:rsidRPr="002F5A4A" w:rsidP="00703F81" w14:paraId="61FE3C2D" w14:textId="518EE9B6">
          <w:pPr>
            <w:jc w:val="left"/>
            <w:rPr>
              <w:rFonts w:eastAsia="Verdana" w:cs="Verdana"/>
              <w:b/>
              <w:szCs w:val="18"/>
            </w:rPr>
          </w:pPr>
          <w:bookmarkStart w:id="5" w:name="bmkSerial" w:colFirst="0" w:colLast="0"/>
          <w:r>
            <w:rPr>
              <w:b w:val="0"/>
              <w:color w:val="FF0000"/>
            </w:rPr>
            <w:t>(25-3107)</w:t>
          </w:r>
        </w:p>
      </w:tc>
      <w:tc>
        <w:tcPr>
          <w:tcW w:w="1799" w:type="pct"/>
          <w:tcBorders>
            <w:bottom w:val="single" w:sz="4" w:space="0" w:color="auto"/>
          </w:tcBorders>
          <w:shd w:val="clear" w:color="auto" w:fill="auto"/>
          <w:tcMar>
            <w:top w:w="0" w:type="dxa"/>
            <w:left w:w="108" w:type="dxa"/>
            <w:bottom w:w="57" w:type="dxa"/>
            <w:right w:w="108" w:type="dxa"/>
          </w:tcMar>
          <w:vAlign w:val="bottom"/>
        </w:tcPr>
        <w:p w:rsidR="002F5A4A" w:rsidRPr="002F5A4A" w:rsidP="00703F81" w14:paraId="7157774A" w14:textId="0F07DD5E">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78795ADE" w14:textId="77777777" w:rsidTr="002F5A4A">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2F5A4A" w:rsidRPr="002F5A4A" w:rsidP="00703F81" w14:paraId="605D20C1" w14:textId="068CE569">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2F5A4A" w:rsidRPr="002F5A4A" w:rsidP="00703F81" w14:paraId="6FBE741C" w14:textId="0384F87A">
          <w:pPr>
            <w:jc w:val="right"/>
            <w:rPr>
              <w:rFonts w:eastAsia="Verdana" w:cs="Verdana"/>
              <w:bCs/>
              <w:szCs w:val="18"/>
            </w:rPr>
          </w:pPr>
          <w:r>
            <w:rPr>
              <w:rFonts w:eastAsia="Verdana" w:cs="Verdana"/>
              <w:bCs/>
              <w:szCs w:val="18"/>
            </w:rPr>
            <w:t>Original: French</w:t>
          </w:r>
        </w:p>
      </w:tc>
    </w:tr>
    <w:bookmarkEnd w:id="2"/>
    <w:bookmarkEnd w:id="6"/>
    <w:bookmarkEnd w:id="7"/>
  </w:tbl>
  <w:p w:rsidR="00DD65B2" w:rsidRPr="002F5A4A" w14:paraId="2F3E6AC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05658729">
    <w:abstractNumId w:val="8"/>
  </w:num>
  <w:num w:numId="2" w16cid:durableId="645747809">
    <w:abstractNumId w:val="3"/>
  </w:num>
  <w:num w:numId="3" w16cid:durableId="173232498">
    <w:abstractNumId w:val="2"/>
  </w:num>
  <w:num w:numId="4" w16cid:durableId="608240333">
    <w:abstractNumId w:val="1"/>
  </w:num>
  <w:num w:numId="5" w16cid:durableId="1539854522">
    <w:abstractNumId w:val="0"/>
  </w:num>
  <w:num w:numId="6" w16cid:durableId="325792884">
    <w:abstractNumId w:val="13"/>
  </w:num>
  <w:num w:numId="7" w16cid:durableId="930940275">
    <w:abstractNumId w:val="11"/>
  </w:num>
  <w:num w:numId="8" w16cid:durableId="2124615832">
    <w:abstractNumId w:val="14"/>
  </w:num>
  <w:num w:numId="9" w16cid:durableId="1210805620">
    <w:abstractNumId w:val="10"/>
  </w:num>
  <w:num w:numId="10" w16cid:durableId="72776213">
    <w:abstractNumId w:val="9"/>
  </w:num>
  <w:num w:numId="11" w16cid:durableId="129523846">
    <w:abstractNumId w:val="7"/>
  </w:num>
  <w:num w:numId="12" w16cid:durableId="171602370">
    <w:abstractNumId w:val="6"/>
  </w:num>
  <w:num w:numId="13" w16cid:durableId="172115706">
    <w:abstractNumId w:val="5"/>
  </w:num>
  <w:num w:numId="14" w16cid:durableId="880092252">
    <w:abstractNumId w:val="4"/>
  </w:num>
  <w:num w:numId="15" w16cid:durableId="1425110331">
    <w:abstractNumId w:val="12"/>
  </w:num>
  <w:num w:numId="16" w16cid:durableId="615677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7618"/>
    <w:rsid w:val="001E1843"/>
    <w:rsid w:val="001E683D"/>
    <w:rsid w:val="002149CB"/>
    <w:rsid w:val="00222CC6"/>
    <w:rsid w:val="002242B5"/>
    <w:rsid w:val="00247D35"/>
    <w:rsid w:val="00250466"/>
    <w:rsid w:val="00254BF0"/>
    <w:rsid w:val="00255119"/>
    <w:rsid w:val="00287066"/>
    <w:rsid w:val="00295BF7"/>
    <w:rsid w:val="002A0D9B"/>
    <w:rsid w:val="002A4277"/>
    <w:rsid w:val="002D5A5B"/>
    <w:rsid w:val="002F5A4A"/>
    <w:rsid w:val="00302ADD"/>
    <w:rsid w:val="00305401"/>
    <w:rsid w:val="00307B0F"/>
    <w:rsid w:val="003267CD"/>
    <w:rsid w:val="00334600"/>
    <w:rsid w:val="00337700"/>
    <w:rsid w:val="003422F5"/>
    <w:rsid w:val="003428C8"/>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D58AD"/>
    <w:rsid w:val="008E4599"/>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51EE"/>
    <w:rsid w:val="00B86771"/>
    <w:rsid w:val="00BA183C"/>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308D"/>
    <w:rsid w:val="00E1753D"/>
    <w:rsid w:val="00E205CA"/>
    <w:rsid w:val="00E464CD"/>
    <w:rsid w:val="00E63B77"/>
    <w:rsid w:val="00E768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B44370"/>
  <w15:docId w15:val="{4CCF1697-FC99-4357-8ABB-14C083D78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boe.incv.cv/Bulletins/Details/A2006/S1/BO6/399" TargetMode="External" /><Relationship Id="rId7" Type="http://schemas.openxmlformats.org/officeDocument/2006/relationships/hyperlink" Target="https://members.wto.org/crnattachments/2025/TBT/CPV/25_03188_00_x.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2906</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Wells, Rosie</cp:lastModifiedBy>
  <cp:revision>3</cp:revision>
  <dcterms:created xsi:type="dcterms:W3CDTF">2025-05-07T12:32:00Z</dcterms:created>
  <dcterms:modified xsi:type="dcterms:W3CDTF">2025-05-09T15:03:00Z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