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1DE9CB7" w14:textId="77777777">
      <w:pPr>
        <w:pStyle w:val="Title"/>
      </w:pPr>
      <w:r w:rsidRPr="002F663C">
        <w:t>NOTIFICATION</w:t>
      </w:r>
    </w:p>
    <w:p w:rsidR="002F663C" w:rsidRPr="002F663C" w:rsidP="00DD3DD7" w14:paraId="342EFB16" w14:textId="77777777">
      <w:pPr>
        <w:pStyle w:val="Title3"/>
      </w:pPr>
      <w:r w:rsidRPr="002F663C">
        <w:t>Addendum</w:t>
      </w:r>
    </w:p>
    <w:p w:rsidR="002F663C" w:rsidP="001E2E4A" w14:paraId="0963565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2F3BE77" w14:textId="77777777">
      <w:pPr>
        <w:rPr>
          <w:rFonts w:eastAsia="Calibri" w:cs="Times New Roman"/>
        </w:rPr>
      </w:pPr>
    </w:p>
    <w:p w:rsidR="002F663C" w:rsidRPr="002F663C" w:rsidP="002F663C" w14:paraId="1BDEAEE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8E98FD1" w14:textId="77777777">
      <w:pPr>
        <w:rPr>
          <w:rFonts w:eastAsia="Calibri" w:cs="Times New Roman"/>
        </w:rPr>
      </w:pPr>
    </w:p>
    <w:p w:rsidR="00C14444" w:rsidRPr="002F663C" w:rsidP="002F663C" w14:paraId="433F16F9" w14:textId="77777777">
      <w:pPr>
        <w:rPr>
          <w:rFonts w:eastAsia="Calibri" w:cs="Times New Roman"/>
        </w:rPr>
      </w:pPr>
    </w:p>
    <w:p w:rsidR="002F663C" w:rsidRPr="002F663C" w:rsidP="002F663C" w14:paraId="6661245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898: 2024, Processing and handling of smoked fish, smoke-flavoured fish, smokedried fish and smoked fish products — Code of practice, Second Edition</w:t>
      </w:r>
    </w:p>
    <w:p w:rsidR="002F663C" w:rsidRPr="002F663C" w:rsidP="002F663C" w14:paraId="37BB642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565CA5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AFD605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03DEF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10323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16239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F3ECC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1922B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655A8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4BAEEB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3B9F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569EC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11C8C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8DD5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C40E8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F1872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4972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FAD86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DC9A8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DE72A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BE0C8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97BCF3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8BFA6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4E6A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55F7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7F90EF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F511B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53BF7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6E3E1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A0F25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5A4038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0272D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221644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611B56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898: 2024, Processing and handling of smoked fish, smoke-flavoured fish, smokedried fish and smoked fish products — Code of practice, Second Edition, notified in G/TBT/N/BDI/507, G/TBT/N/KEN/1674, G/TBT/N/RWA/1056, G/TBT/N/TZA/1173, G/TBT/N/UGA/2010 was adopted by the East African Community Council of Ministers on 2nd August 2025 as EAS 898: 2024, Processing and handling of smoked fish, sm</w:t>
      </w:r>
      <w:r w:rsidRPr="002F663C">
        <w:rPr>
          <w:rFonts w:eastAsia="Calibri" w:cs="Times New Roman"/>
          <w:szCs w:val="18"/>
        </w:rPr>
        <w:t>oke-flavoured fish, smokedried fish and smoked fish products — Code of practice, Second Edition.</w:t>
      </w:r>
    </w:p>
    <w:p w:rsidR="002E16A9" w:rsidRPr="002F663C" w:rsidP="00B16ACF" w14:paraId="30697C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59D532A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3064C2C" w14:textId="77777777">
      <w:pPr>
        <w:jc w:val="center"/>
        <w:rPr>
          <w:b/>
        </w:rPr>
      </w:pPr>
    </w:p>
    <w:p w:rsidR="00A1565D" w:rsidP="003971FF" w14:paraId="03A523B5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6F8D19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6EF841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727D400" w14:textId="77777777">
      <w:r>
        <w:separator/>
      </w:r>
    </w:p>
  </w:footnote>
  <w:footnote w:type="continuationSeparator" w:id="1">
    <w:p w:rsidR="004D3A6A" w:rsidP="00ED54E0" w14:paraId="6EA56FEA" w14:textId="77777777">
      <w:r>
        <w:continuationSeparator/>
      </w:r>
    </w:p>
  </w:footnote>
  <w:footnote w:id="2">
    <w:p w:rsidR="007F6EA2" w14:paraId="1BABAC8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4DFE0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BAE69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D155C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78135B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BC873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G/TBT/N/BDI/507/Add.1, G/TBT/N/KEN/1674/Add.1, G/TBT/N/RWA/1056/Add.1, G/TBT/N/TZA/1173/Add.1, G/TBT/N/UGA/2010/Add.1</w:t>
    </w:r>
    <w:bookmarkEnd w:id="3"/>
  </w:p>
  <w:p w:rsidR="00DD3DD7" w:rsidRPr="00DD3DD7" w:rsidP="00DD3DD7" w14:paraId="040724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1204D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F39957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943D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43174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E18AB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4C3D4C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9F9742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1EAB8E4" w14:textId="77777777">
          <w:pPr>
            <w:jc w:val="right"/>
            <w:rPr>
              <w:b/>
              <w:szCs w:val="16"/>
            </w:rPr>
          </w:pPr>
        </w:p>
      </w:tc>
    </w:tr>
    <w:tr w14:paraId="4CEBED8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C78B6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D3A9F9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G/TBT/N/BDI/507/Add.1, G/TBT/N/KEN/1674/Add.1, G/TBT/N/RWA/1056/Add.1, G/TBT/N/TZA/1173/Add.1, G/TBT/N/UGA/2010/Add.1</w:t>
          </w:r>
          <w:bookmarkEnd w:id="4"/>
        </w:p>
        <w:p w:rsidR="00C14444" w:rsidRPr="00C14444" w:rsidP="00C14444" w14:paraId="3D0A3DA6" w14:textId="77777777">
          <w:pPr>
            <w:jc w:val="center"/>
            <w:rPr>
              <w:szCs w:val="16"/>
            </w:rPr>
          </w:pPr>
        </w:p>
      </w:tc>
    </w:tr>
    <w:tr w14:paraId="5E2C1F8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05622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92B4B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182E063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DC1934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(25-5256)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3B9E1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83F7EB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B16EF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9FA73F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6EDA8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777623">
    <w:abstractNumId w:val="9"/>
  </w:num>
  <w:num w:numId="2" w16cid:durableId="804859158">
    <w:abstractNumId w:val="7"/>
  </w:num>
  <w:num w:numId="3" w16cid:durableId="2142456844">
    <w:abstractNumId w:val="6"/>
  </w:num>
  <w:num w:numId="4" w16cid:durableId="209846933">
    <w:abstractNumId w:val="5"/>
  </w:num>
  <w:num w:numId="5" w16cid:durableId="439641650">
    <w:abstractNumId w:val="4"/>
  </w:num>
  <w:num w:numId="6" w16cid:durableId="429862263">
    <w:abstractNumId w:val="12"/>
  </w:num>
  <w:num w:numId="7" w16cid:durableId="2126656811">
    <w:abstractNumId w:val="11"/>
  </w:num>
  <w:num w:numId="8" w16cid:durableId="336158614">
    <w:abstractNumId w:val="10"/>
  </w:num>
  <w:num w:numId="9" w16cid:durableId="897283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7423664">
    <w:abstractNumId w:val="13"/>
  </w:num>
  <w:num w:numId="11" w16cid:durableId="529730502">
    <w:abstractNumId w:val="8"/>
  </w:num>
  <w:num w:numId="12" w16cid:durableId="2130271719">
    <w:abstractNumId w:val="3"/>
  </w:num>
  <w:num w:numId="13" w16cid:durableId="721560713">
    <w:abstractNumId w:val="2"/>
  </w:num>
  <w:num w:numId="14" w16cid:durableId="398595700">
    <w:abstractNumId w:val="1"/>
  </w:num>
  <w:num w:numId="15" w16cid:durableId="549269711">
    <w:abstractNumId w:val="0"/>
  </w:num>
  <w:num w:numId="16" w16cid:durableId="125397209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4EF9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16A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31B2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5C0C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4231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40D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0BA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C3BB6-1ACD-40E3-ACA7-1F732D70397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235</Words>
  <Characters>1333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2025-08-22T11:53:00Z</dcterms:created>
  <dcterms:modified xsi:type="dcterms:W3CDTF">2025-08-22T12:11:00Z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