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5D62C9A9" w14:textId="77777777">
      <w:pPr>
        <w:pStyle w:val="Title"/>
      </w:pPr>
      <w:r w:rsidRPr="002F663C">
        <w:t>NOTIFICATION</w:t>
      </w:r>
    </w:p>
    <w:p w:rsidR="002F663C" w:rsidRPr="002F663C" w:rsidP="00DD3DD7" w14:paraId="31DF4EC8" w14:textId="77777777">
      <w:pPr>
        <w:pStyle w:val="Title3"/>
      </w:pPr>
      <w:r w:rsidRPr="002F663C">
        <w:t>Addendum</w:t>
      </w:r>
    </w:p>
    <w:p w:rsidR="002F663C" w:rsidP="001E2E4A" w14:paraId="5EDE2832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3 June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0BB8E254" w14:textId="77777777">
      <w:pPr>
        <w:rPr>
          <w:rFonts w:eastAsia="Calibri" w:cs="Times New Roman"/>
        </w:rPr>
      </w:pPr>
    </w:p>
    <w:p w:rsidR="002F663C" w:rsidRPr="002F663C" w:rsidP="002F663C" w14:paraId="4ECF7407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7A2FD46" w14:textId="77777777">
      <w:pPr>
        <w:rPr>
          <w:rFonts w:eastAsia="Calibri" w:cs="Times New Roman"/>
        </w:rPr>
      </w:pPr>
    </w:p>
    <w:p w:rsidR="00C14444" w:rsidRPr="002F663C" w:rsidP="002F663C" w14:paraId="12DB19E9" w14:textId="77777777">
      <w:pPr>
        <w:rPr>
          <w:rFonts w:eastAsia="Calibri" w:cs="Times New Roman"/>
        </w:rPr>
      </w:pPr>
    </w:p>
    <w:p w:rsidR="002F663C" w:rsidRPr="002F663C" w:rsidP="002F663C" w14:paraId="7A7DAAF3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Minister of Industry and Transport Decree No. 160/2025 for the commitment of </w:t>
      </w:r>
      <w:r w:rsidRPr="00022513">
        <w:rPr>
          <w:rFonts w:eastAsia="Calibri" w:cs="Times New Roman"/>
          <w:bCs/>
          <w:szCs w:val="18"/>
        </w:rPr>
        <w:t>Production according to Egyptian standards.</w:t>
      </w:r>
    </w:p>
    <w:p w:rsidR="002F663C" w:rsidRPr="002F663C" w:rsidP="002F663C" w14:paraId="42142C08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1DA3ACFA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1AE9FD35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2588BCC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B2FBAA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119601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16E7CFE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9C0123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28887B1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24 May 2025</w:t>
            </w:r>
          </w:p>
        </w:tc>
      </w:tr>
      <w:tr w14:paraId="3272A33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6202FA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2BD200B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609326B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2ECE91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05B735A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gazette.</w:t>
            </w:r>
          </w:p>
        </w:tc>
      </w:tr>
      <w:tr w14:paraId="028795F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840C71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3821C4C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142B3D4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691B02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3E1F863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5A6C9F61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 xml:space="preserve">elevant symbol if measure </w:t>
            </w:r>
            <w:r w:rsidRPr="002F663C">
              <w:rPr>
                <w:rFonts w:eastAsia="Calibri" w:cs="Times New Roman"/>
              </w:rPr>
              <w:t>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AB1EA8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9DBB6D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D0270AE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082727" w:rsidP="00C14444" w14:paraId="41A9B8D9" w14:textId="77777777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Minister of Industry and Transport Decree No. 160/2025 for the commitment of Production according to Egyptian standards.</w:t>
            </w:r>
          </w:p>
          <w:p w:rsidR="002F663C" w:rsidRPr="002F663C" w:rsidP="00C14444" w14:paraId="27253D6B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EC0DC7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67EB01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7535DF3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63E92E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37D727A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5418609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69960F57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3CD766A1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This addendum concerns the notification of the Minister of Industry and Transport Decree No. 160/2025 (2 pages, in Arabic) mandating that the Producers and </w:t>
      </w:r>
      <w:r w:rsidRPr="002F663C">
        <w:rPr>
          <w:rFonts w:eastAsia="Calibri" w:cs="Times New Roman"/>
          <w:szCs w:val="18"/>
        </w:rPr>
        <w:t>importers abided by the mandatory Egyptian standards. In case of absence of mandatory Egyptian Standards, the following standards will be accepted:</w:t>
      </w:r>
    </w:p>
    <w:p w:rsidR="00D5299D" w:rsidRPr="002F663C" w:rsidP="00B16ACF" w14:paraId="2E890927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standards (ES).</w:t>
      </w:r>
    </w:p>
    <w:p w:rsidR="00D5299D" w:rsidRPr="002F663C" w:rsidP="00B16ACF" w14:paraId="5A30EEC3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International standards (ISO/IEC).</w:t>
      </w:r>
    </w:p>
    <w:p w:rsidR="00D5299D" w:rsidRPr="002F663C" w:rsidP="00B16ACF" w14:paraId="2244A7A0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European standards issued by EN , in case of </w:t>
      </w:r>
      <w:r w:rsidRPr="002F663C">
        <w:rPr>
          <w:rFonts w:eastAsia="Calibri" w:cs="Times New Roman"/>
          <w:szCs w:val="18"/>
        </w:rPr>
        <w:t>non-availability it is replaced by British Standards (BS) or German Standards (DIN) or French Standards (NF).</w:t>
      </w:r>
    </w:p>
    <w:p w:rsidR="00D5299D" w:rsidRPr="002F663C" w:rsidP="00B16ACF" w14:paraId="3EDF7779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American standards (ANSI)</w:t>
      </w:r>
    </w:p>
    <w:p w:rsidR="00D5299D" w:rsidRPr="002F663C" w:rsidP="00B16ACF" w14:paraId="1DF72856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Japanese Standards ( JIS)</w:t>
      </w:r>
    </w:p>
    <w:p w:rsidR="00D5299D" w:rsidRPr="002F663C" w:rsidP="00B16ACF" w14:paraId="2DD33ABE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Standards issued by International Standards Codex (CODEX).</w:t>
      </w:r>
    </w:p>
    <w:p w:rsidR="00D5299D" w:rsidRPr="002F663C" w:rsidP="00B16ACF" w14:paraId="1B815A26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Standards issued by ASTM international.</w:t>
      </w:r>
    </w:p>
    <w:p w:rsidR="00D5299D" w:rsidRPr="002F663C" w:rsidP="00B16ACF" w14:paraId="4C6C3673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Standards issued by the Japan Automobile Organization (JASO).</w:t>
      </w:r>
    </w:p>
    <w:p w:rsidR="00D5299D" w:rsidRPr="002F663C" w:rsidP="00B16ACF" w14:paraId="6E71C107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Standards issued by the International Society of Automotive Engineers (SAE).</w:t>
      </w:r>
    </w:p>
    <w:p w:rsidR="00D5299D" w:rsidRPr="002F663C" w:rsidP="00B16ACF" w14:paraId="1D070EEC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Standards issued by the American Petroleum Institute (API).</w:t>
      </w:r>
    </w:p>
    <w:p w:rsidR="00D5299D" w:rsidRPr="002F663C" w:rsidP="00B16ACF" w14:paraId="32D4446F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Unified Arab Standards issued by the Arab Industrial Development and Mining Organization.</w:t>
      </w:r>
    </w:p>
    <w:p w:rsidR="00D5299D" w:rsidRPr="002F663C" w:rsidP="00B16ACF" w14:paraId="145221DB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Technical regulations issued by the United Nations for vehicles and their components.</w:t>
      </w:r>
    </w:p>
    <w:p w:rsidR="00D5299D" w:rsidRPr="002F663C" w:rsidP="00B16ACF" w14:paraId="2DE985A2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Standards issued by the American Society of Mechanical Engineers (ASME).</w:t>
      </w:r>
    </w:p>
    <w:p w:rsidR="00D5299D" w:rsidRPr="002F663C" w:rsidP="00B16ACF" w14:paraId="72B85EBB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Standards issued by the International </w:t>
      </w:r>
      <w:r w:rsidRPr="002F663C">
        <w:rPr>
          <w:rFonts w:eastAsia="Calibri" w:cs="Times New Roman"/>
          <w:szCs w:val="18"/>
        </w:rPr>
        <w:t>Organization for Legal Metrology (OIML).</w:t>
      </w:r>
    </w:p>
    <w:p w:rsidR="00D5299D" w:rsidRPr="002F663C" w:rsidP="00B16ACF" w14:paraId="261725B2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US Federal Motor Vehicle Safety Standards (FMVSS).</w:t>
      </w:r>
    </w:p>
    <w:p w:rsidR="00D5299D" w:rsidRPr="002F663C" w:rsidP="00B16ACF" w14:paraId="610DD79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The whole product or commodity shall be subject to one standard without subjecting its items to more than one standard.</w:t>
      </w:r>
    </w:p>
    <w:p w:rsidR="00D5299D" w:rsidRPr="002F663C" w:rsidP="00B16ACF" w14:paraId="6B1458A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 of Industry and Transport Decree No. 160/2025 (2 pages, in Arabic) cancels and supersedes Ministerial Decree No. 102/2022 formerly notified in G/TBT/N/EGY/321 dated 9 May 2022.</w:t>
      </w:r>
    </w:p>
    <w:p w:rsidR="00D5299D" w:rsidRPr="002F663C" w:rsidP="00B16ACF" w14:paraId="0698E8B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 through the publication of administrative orders in the official gazette.</w:t>
      </w:r>
    </w:p>
    <w:p w:rsidR="00D5299D" w:rsidRPr="002F663C" w:rsidP="00B16ACF" w14:paraId="332562D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Proposed date of adoption</w:t>
      </w:r>
      <w:r w:rsidRPr="002F663C">
        <w:rPr>
          <w:rFonts w:eastAsia="Calibri" w:cs="Times New Roman"/>
          <w:szCs w:val="18"/>
        </w:rPr>
        <w:t>: 24 May 2025.</w:t>
      </w:r>
    </w:p>
    <w:p w:rsidR="00D5299D" w:rsidRPr="002F663C" w:rsidP="00B16ACF" w14:paraId="3C4CC2B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Proposed date of entry into force</w:t>
      </w:r>
      <w:r w:rsidRPr="002F663C">
        <w:rPr>
          <w:rFonts w:eastAsia="Calibri" w:cs="Times New Roman"/>
          <w:szCs w:val="18"/>
        </w:rPr>
        <w:t>: The day following the date of publication in the official gazette.</w:t>
      </w:r>
    </w:p>
    <w:p w:rsidR="00D5299D" w:rsidRPr="002F663C" w:rsidP="00B16ACF" w14:paraId="67D5E72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 National Enquiry Point Egyptian Organization for Standardization and Quality</w:t>
      </w:r>
    </w:p>
    <w:p w:rsidR="00D5299D" w:rsidRPr="002F663C" w:rsidP="00B16ACF" w14:paraId="1412924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– Egypt</w:t>
      </w:r>
    </w:p>
    <w:p w:rsidR="00D5299D" w:rsidRPr="002F663C" w:rsidP="00B16ACF" w14:paraId="2781601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D5299D" w:rsidRPr="002F663C" w:rsidP="00B16ACF" w14:paraId="2951219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D5299D" w:rsidRPr="002F663C" w:rsidP="00B16ACF" w14:paraId="2882444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eos@eos.net.eg</w:t>
        </w:r>
      </w:hyperlink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/eos.tbt@eos.org.eg</w:t>
        </w:r>
      </w:hyperlink>
    </w:p>
    <w:p w:rsidR="00D5299D" w:rsidRPr="002F663C" w:rsidP="00B16ACF" w14:paraId="2882D20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6C5A96" w:rsidP="006C5A96" w14:paraId="3DC130A3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3773B6FB" w14:textId="77777777">
      <w:pPr>
        <w:jc w:val="center"/>
        <w:rPr>
          <w:b/>
        </w:rPr>
      </w:pPr>
    </w:p>
    <w:p w:rsidR="00A1565D" w:rsidP="003971FF" w14:paraId="6D3F85E2" w14:textId="77777777">
      <w:pPr>
        <w:jc w:val="center"/>
        <w:rPr>
          <w:b/>
        </w:rPr>
      </w:pPr>
    </w:p>
    <w:sectPr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D036A71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1C973B5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57B06EAB" w14:textId="77777777">
      <w:r>
        <w:separator/>
      </w:r>
    </w:p>
  </w:footnote>
  <w:footnote w:type="continuationSeparator" w:id="1">
    <w:p w:rsidR="004D3A6A" w:rsidP="00ED54E0" w14:paraId="5F08720F" w14:textId="77777777">
      <w:r>
        <w:continuationSeparator/>
      </w:r>
    </w:p>
  </w:footnote>
  <w:footnote w:id="2">
    <w:p w:rsidR="007F6EA2" w14:paraId="022ECFC1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5D37E10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43C1C53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BB7440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0BA1FE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65CF16D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G/TBT/N/EGY/321/Add.1</w:t>
    </w:r>
    <w:bookmarkEnd w:id="3"/>
  </w:p>
  <w:p w:rsidR="00DD3DD7" w:rsidRPr="00DD3DD7" w:rsidP="00DD3DD7" w14:paraId="54AC82B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920427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5A26C6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0A7475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92C70E0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8F31632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6D0849E0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C67CF63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58BBE17" w14:textId="77777777">
          <w:pPr>
            <w:jc w:val="right"/>
            <w:rPr>
              <w:b/>
              <w:szCs w:val="16"/>
            </w:rPr>
          </w:pPr>
        </w:p>
      </w:tc>
    </w:tr>
    <w:tr w14:paraId="1AFD6F53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207083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12D21659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G/TBT/N/EGY/321/Add.1</w:t>
          </w:r>
          <w:bookmarkEnd w:id="4"/>
        </w:p>
        <w:p w:rsidR="00C14444" w:rsidRPr="00C14444" w:rsidP="00C14444" w14:paraId="20B00004" w14:textId="77777777">
          <w:pPr>
            <w:jc w:val="center"/>
            <w:rPr>
              <w:szCs w:val="16"/>
            </w:rPr>
          </w:pPr>
        </w:p>
      </w:tc>
    </w:tr>
    <w:tr w14:paraId="3B37795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7A47CC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C53858E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3 June 2025</w:t>
          </w:r>
          <w:bookmarkEnd w:id="5"/>
        </w:p>
      </w:tc>
    </w:tr>
    <w:tr w14:paraId="6AEB7262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A36055F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(25-3601)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578EB65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0B4EB2F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58FFAA2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F8EFB61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6534C22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hybridMultilevel"/>
    <w:tmpl w:val="63D526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734551378">
    <w:abstractNumId w:val="9"/>
  </w:num>
  <w:num w:numId="2" w16cid:durableId="1631008665">
    <w:abstractNumId w:val="7"/>
  </w:num>
  <w:num w:numId="3" w16cid:durableId="482039959">
    <w:abstractNumId w:val="6"/>
  </w:num>
  <w:num w:numId="4" w16cid:durableId="1321814937">
    <w:abstractNumId w:val="5"/>
  </w:num>
  <w:num w:numId="5" w16cid:durableId="2129623231">
    <w:abstractNumId w:val="4"/>
  </w:num>
  <w:num w:numId="6" w16cid:durableId="1203715290">
    <w:abstractNumId w:val="12"/>
  </w:num>
  <w:num w:numId="7" w16cid:durableId="1106386821">
    <w:abstractNumId w:val="11"/>
  </w:num>
  <w:num w:numId="8" w16cid:durableId="420686810">
    <w:abstractNumId w:val="10"/>
  </w:num>
  <w:num w:numId="9" w16cid:durableId="3012722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4119946">
    <w:abstractNumId w:val="13"/>
  </w:num>
  <w:num w:numId="11" w16cid:durableId="1348094942">
    <w:abstractNumId w:val="8"/>
  </w:num>
  <w:num w:numId="12" w16cid:durableId="428359011">
    <w:abstractNumId w:val="3"/>
  </w:num>
  <w:num w:numId="13" w16cid:durableId="1206067086">
    <w:abstractNumId w:val="2"/>
  </w:num>
  <w:num w:numId="14" w16cid:durableId="137773136">
    <w:abstractNumId w:val="1"/>
  </w:num>
  <w:num w:numId="15" w16cid:durableId="619802736">
    <w:abstractNumId w:val="0"/>
  </w:num>
  <w:num w:numId="16" w16cid:durableId="159477523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  <w:num w:numId="17" w16cid:durableId="1028505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A1823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26ACF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99D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E922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mailto:eos@eos.net.eg" TargetMode="External" /><Relationship Id="rId7" Type="http://schemas.openxmlformats.org/officeDocument/2006/relationships/hyperlink" Target="mailto:/eos.tbt@eos.org.eg" TargetMode="External" /><Relationship Id="rId8" Type="http://schemas.openxmlformats.org/officeDocument/2006/relationships/hyperlink" Target="http://www.eos.org.eg/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2025-06-03T09:21:00Z</dcterms:created>
  <dcterms:modified xsi:type="dcterms:W3CDTF">2025-06-03T09:21:00Z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