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8BA29FB" w14:textId="77777777">
      <w:pPr>
        <w:pStyle w:val="Title"/>
      </w:pPr>
      <w:r w:rsidRPr="002F663C">
        <w:t>NOTIFICATION</w:t>
      </w:r>
    </w:p>
    <w:p w:rsidR="002F663C" w:rsidRPr="002F663C" w:rsidP="00DD3DD7" w14:paraId="48E972A7" w14:textId="77777777">
      <w:pPr>
        <w:pStyle w:val="Title3"/>
      </w:pPr>
      <w:r w:rsidRPr="002F663C">
        <w:t>Addendum</w:t>
      </w:r>
    </w:p>
    <w:p w:rsidR="002F663C" w:rsidP="001E2E4A" w14:paraId="3EE03CC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B892691" w14:textId="77777777">
      <w:pPr>
        <w:rPr>
          <w:rFonts w:eastAsia="Calibri" w:cs="Times New Roman"/>
        </w:rPr>
      </w:pPr>
    </w:p>
    <w:p w:rsidR="002F663C" w:rsidRPr="002F663C" w:rsidP="002F663C" w14:paraId="179954F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05CEB08" w14:textId="77777777">
      <w:pPr>
        <w:rPr>
          <w:rFonts w:eastAsia="Calibri" w:cs="Times New Roman"/>
        </w:rPr>
      </w:pPr>
    </w:p>
    <w:p w:rsidR="00C14444" w:rsidRPr="002F663C" w:rsidP="002F663C" w14:paraId="37B17C4E" w14:textId="77777777">
      <w:pPr>
        <w:rPr>
          <w:rFonts w:eastAsia="Calibri" w:cs="Times New Roman"/>
        </w:rPr>
      </w:pPr>
    </w:p>
    <w:p w:rsidR="002F663C" w:rsidRPr="002F663C" w:rsidP="002F663C" w14:paraId="2EFA937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8220-1 "Child care articles - Wheeled child conveyances - Part 1: Pushchairs and prams"</w:t>
      </w:r>
    </w:p>
    <w:p w:rsidR="002F663C" w:rsidRPr="002F663C" w:rsidP="002F663C" w14:paraId="5DF892A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2C10B2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41FCB2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EC91D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D6BB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D6A0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15D86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6B5A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58098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7D55F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0B042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AA42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82B74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CDCF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5AEA6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3E46F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15E2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90F3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0AD06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9B73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BD9E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874B76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22FD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ED56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2317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149252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1C25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6875E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5811C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EE326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3DBA3F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C2D3F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B5348A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518116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Equipment for children (ICS code: 97.190).</w:t>
      </w:r>
    </w:p>
    <w:p w:rsidR="0093179D" w:rsidRPr="002F663C" w:rsidP="00B16ACF" w14:paraId="475F8B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Ministerial Decree No. 246 /2025 (5 pages, in Arabic) that gives the producers and importers a six-month transitional period to abide by the Egyptian </w:t>
      </w:r>
      <w:r w:rsidRPr="002F663C">
        <w:rPr>
          <w:rFonts w:eastAsia="Calibri" w:cs="Times New Roman"/>
          <w:szCs w:val="18"/>
        </w:rPr>
        <w:t>StandardES</w:t>
      </w:r>
      <w:r w:rsidRPr="002F663C">
        <w:rPr>
          <w:rFonts w:eastAsia="Calibri" w:cs="Times New Roman"/>
          <w:szCs w:val="18"/>
        </w:rPr>
        <w:t xml:space="preserve"> 8220-1 "Child care articles - Wheeled child conveyances - Part 1: Pushchairs and prams" (116 pages, in English).</w:t>
      </w:r>
    </w:p>
    <w:p w:rsidR="0093179D" w:rsidRPr="002F663C" w:rsidP="00B16ACF" w14:paraId="378628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103/2019 (2 pages, in Arabic) which was formerly notified in G/TBT/N/EGY/190/Add.1 dated 15 May 2019, the Ministerial Decree No. 610 /2020 (4 pages, in Arabic) which was formerly notified in G/TBT/N/EGY/190/Add.2 dated 31 March 2021, mandated among others the earlier versions of this standard and the draft of this standard was formerly notified in G/TBT/N/EGY/190 dated 4 September 2018, and G/TBT/N/EGY/190/Add.4 dated 19 February 2025.</w:t>
      </w:r>
    </w:p>
    <w:p w:rsidR="0093179D" w:rsidRPr="002F663C" w:rsidP="00B16ACF" w14:paraId="30C046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1888-1:2018+A1:2022.</w:t>
      </w:r>
    </w:p>
    <w:p w:rsidR="0093179D" w:rsidRPr="002F663C" w:rsidP="00B16ACF" w14:paraId="5B6520A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3179D" w:rsidRPr="002F663C" w:rsidP="00B16ACF" w14:paraId="51A1DE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93179D" w:rsidRPr="002F663C" w:rsidP="00B16ACF" w14:paraId="49DC64C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93179D" w:rsidRPr="002F663C" w:rsidP="00B16ACF" w14:paraId="2712518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3179D" w:rsidRPr="002F663C" w:rsidP="00B16ACF" w14:paraId="04CF57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3179D" w:rsidRPr="002F663C" w:rsidP="00B16ACF" w14:paraId="2156FC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3179D" w:rsidRPr="002F663C" w:rsidP="00B16ACF" w14:paraId="211AD3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93179D" w:rsidRPr="002F663C" w:rsidP="00B16ACF" w14:paraId="1D3CE6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3179D" w:rsidRPr="002F663C" w:rsidP="00B16ACF" w14:paraId="446B18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3179D" w:rsidRPr="002F663C" w:rsidP="00B16ACF" w14:paraId="5B96C3A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3179D" w:rsidRPr="002F663C" w:rsidP="00B16ACF" w14:paraId="41DDCF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56904D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8EC8992" w14:textId="77777777">
      <w:pPr>
        <w:jc w:val="center"/>
        <w:rPr>
          <w:b/>
        </w:rPr>
      </w:pPr>
    </w:p>
    <w:p w:rsidR="00A1565D" w:rsidP="003971FF" w14:paraId="0566867A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582C0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B25BC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9C414D7" w14:textId="77777777">
      <w:r>
        <w:separator/>
      </w:r>
    </w:p>
  </w:footnote>
  <w:footnote w:type="continuationSeparator" w:id="1">
    <w:p w:rsidR="004D3A6A" w:rsidP="00ED54E0" w14:paraId="123E9413" w14:textId="77777777">
      <w:r>
        <w:continuationSeparator/>
      </w:r>
    </w:p>
  </w:footnote>
  <w:footnote w:id="2">
    <w:p w:rsidR="007F6EA2" w14:paraId="450277F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66E5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18A63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0D1B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ECC9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96438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G/TBT/N/EGY/190/Add.5</w:t>
    </w:r>
    <w:bookmarkEnd w:id="3"/>
  </w:p>
  <w:p w:rsidR="00DD3DD7" w:rsidRPr="00DD3DD7" w:rsidP="00DD3DD7" w14:paraId="34D16D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5E79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070E4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41C0F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A3224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6776B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06CFE3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1949B0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0C001D" w14:textId="77777777">
          <w:pPr>
            <w:jc w:val="right"/>
            <w:rPr>
              <w:b/>
              <w:szCs w:val="16"/>
            </w:rPr>
          </w:pPr>
        </w:p>
      </w:tc>
    </w:tr>
    <w:tr w14:paraId="7F75864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061B89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FF2165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G/TBT/N/EGY/190/Add.5</w:t>
          </w:r>
          <w:bookmarkEnd w:id="4"/>
        </w:p>
        <w:p w:rsidR="00C14444" w:rsidRPr="00C14444" w:rsidP="00C14444" w14:paraId="55502A59" w14:textId="77777777">
          <w:pPr>
            <w:jc w:val="center"/>
            <w:rPr>
              <w:szCs w:val="16"/>
            </w:rPr>
          </w:pPr>
        </w:p>
      </w:tc>
    </w:tr>
    <w:tr w14:paraId="32D88C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AC30F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E0884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52E5C6A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894834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(25-6456)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7DA31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B5E9D6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403AC3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BF2C43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7C9DC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148917">
    <w:abstractNumId w:val="9"/>
  </w:num>
  <w:num w:numId="2" w16cid:durableId="522206095">
    <w:abstractNumId w:val="7"/>
  </w:num>
  <w:num w:numId="3" w16cid:durableId="1633976236">
    <w:abstractNumId w:val="6"/>
  </w:num>
  <w:num w:numId="4" w16cid:durableId="1275283845">
    <w:abstractNumId w:val="5"/>
  </w:num>
  <w:num w:numId="5" w16cid:durableId="1500727712">
    <w:abstractNumId w:val="4"/>
  </w:num>
  <w:num w:numId="6" w16cid:durableId="751703175">
    <w:abstractNumId w:val="12"/>
  </w:num>
  <w:num w:numId="7" w16cid:durableId="553002533">
    <w:abstractNumId w:val="11"/>
  </w:num>
  <w:num w:numId="8" w16cid:durableId="756291833">
    <w:abstractNumId w:val="10"/>
  </w:num>
  <w:num w:numId="9" w16cid:durableId="1215578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3434472">
    <w:abstractNumId w:val="13"/>
  </w:num>
  <w:num w:numId="11" w16cid:durableId="224269215">
    <w:abstractNumId w:val="8"/>
  </w:num>
  <w:num w:numId="12" w16cid:durableId="2101019810">
    <w:abstractNumId w:val="3"/>
  </w:num>
  <w:num w:numId="13" w16cid:durableId="739324034">
    <w:abstractNumId w:val="2"/>
  </w:num>
  <w:num w:numId="14" w16cid:durableId="2069457300">
    <w:abstractNumId w:val="1"/>
  </w:num>
  <w:num w:numId="15" w16cid:durableId="1877354267">
    <w:abstractNumId w:val="0"/>
  </w:num>
  <w:num w:numId="16" w16cid:durableId="13929968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6578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D1A"/>
    <w:rsid w:val="008739FD"/>
    <w:rsid w:val="00893E85"/>
    <w:rsid w:val="008A0701"/>
    <w:rsid w:val="008B1018"/>
    <w:rsid w:val="008C42D2"/>
    <w:rsid w:val="008E2C13"/>
    <w:rsid w:val="008E372C"/>
    <w:rsid w:val="00917235"/>
    <w:rsid w:val="0093179D"/>
    <w:rsid w:val="00992AEA"/>
    <w:rsid w:val="009A4D36"/>
    <w:rsid w:val="009A6F54"/>
    <w:rsid w:val="009D1B53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7A1C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0D1F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A6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B6814-4680-453C-A6D6-FE6C16AC927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373</Words>
  <Characters>2101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2025-10-08T07:32:00Z</dcterms:created>
  <dcterms:modified xsi:type="dcterms:W3CDTF">2025-10-08T08:22:00Z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