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13ECF714" w14:textId="77777777">
      <w:pPr>
        <w:pStyle w:val="Title"/>
      </w:pPr>
      <w:r w:rsidRPr="002F663C">
        <w:t>NOTIFICATION</w:t>
      </w:r>
    </w:p>
    <w:p w:rsidR="002F663C" w:rsidRPr="002F663C" w:rsidP="00DD3DD7" w14:paraId="04CF7F81" w14:textId="77777777">
      <w:pPr>
        <w:pStyle w:val="Title3"/>
      </w:pPr>
      <w:r w:rsidRPr="002F663C">
        <w:t>Addendum</w:t>
      </w:r>
    </w:p>
    <w:p w:rsidR="002F663C" w:rsidP="001E2E4A" w14:paraId="275B250C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6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Egypt</w:t>
      </w:r>
      <w:r w:rsidRPr="002F663C">
        <w:rPr>
          <w:rFonts w:eastAsia="Calibri" w:cs="Times New Roman"/>
        </w:rPr>
        <w:t>.</w:t>
      </w:r>
    </w:p>
    <w:p w:rsidR="001E2E4A" w:rsidRPr="002F663C" w:rsidP="001E2E4A" w14:paraId="6EA90523" w14:textId="77777777">
      <w:pPr>
        <w:rPr>
          <w:rFonts w:eastAsia="Calibri" w:cs="Times New Roman"/>
        </w:rPr>
      </w:pPr>
    </w:p>
    <w:p w:rsidR="002F663C" w:rsidRPr="002F663C" w:rsidP="002F663C" w14:paraId="6537105D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0C7BBB58" w14:textId="77777777">
      <w:pPr>
        <w:rPr>
          <w:rFonts w:eastAsia="Calibri" w:cs="Times New Roman"/>
        </w:rPr>
      </w:pPr>
    </w:p>
    <w:p w:rsidR="00C14444" w:rsidRPr="002F663C" w:rsidP="002F663C" w14:paraId="01CEE69B" w14:textId="77777777">
      <w:pPr>
        <w:rPr>
          <w:rFonts w:eastAsia="Calibri" w:cs="Times New Roman"/>
        </w:rPr>
      </w:pPr>
    </w:p>
    <w:p w:rsidR="002F663C" w:rsidRPr="002F663C" w:rsidP="002F663C" w14:paraId="79716E4B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The Egyptian Standard ES 4567 "paper and board for recycling"</w:t>
      </w:r>
    </w:p>
    <w:p w:rsidR="002F663C" w:rsidRPr="002F663C" w:rsidP="002F663C" w14:paraId="0FA136FA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0291A233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36C6C573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26D487BA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80834B4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5DDA9D6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523E92D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267BD37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20D2CE3C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adopted - date: 22 October 2025</w:t>
            </w:r>
          </w:p>
        </w:tc>
      </w:tr>
      <w:tr w14:paraId="0DAECF32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593062F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346123FF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1BB0B5DF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64F77AD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31AED867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The day following the date of publication in the official gazette</w:t>
            </w:r>
          </w:p>
        </w:tc>
      </w:tr>
      <w:tr w14:paraId="63B2F311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53DE64E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12B9245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4CC4B995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323C37E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6E0F9D53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68137036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21411709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2106D89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3B46E388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2993AC2E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351C083E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91D8232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5C188E68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4D9986CD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0F7511E9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193CD3E4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15D5506D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337B12EE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i/>
          <w:iCs/>
          <w:szCs w:val="18"/>
        </w:rPr>
        <w:t>Products covered:</w:t>
      </w:r>
      <w:r w:rsidRPr="002F663C">
        <w:rPr>
          <w:rFonts w:eastAsia="Calibri" w:cs="Times New Roman"/>
          <w:b/>
          <w:bCs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ICS: 85.060 (Paper and board).</w:t>
      </w:r>
    </w:p>
    <w:p w:rsidR="005E532C" w:rsidRPr="002F663C" w:rsidP="00B16ACF" w14:paraId="13920A2F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This addendum concerns the notification of the Ministerial Decree No. 372 /2025 (1 page, in Arabic) that gives the producers and importers a six-month transitional period to abide by the Egyptian Standard ES 4567 "paper and board for recycling "(30 pages, in Arabic).</w:t>
      </w:r>
    </w:p>
    <w:p w:rsidR="005E532C" w:rsidRPr="002F663C" w:rsidP="00B16ACF" w14:paraId="649D58C1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It should be noted that the Ministerial Decree No.1308/2017 (2 pages, in Arabic) which was formerly notified in G/TBT/N/EGY/3/Add.13 dated 21 February 2018, mandated among others the earlier version of this standard and the draft of this standard was formerly notified in G/TBT/N/EGY/3/Add.91 dated 12 May 2025.</w:t>
      </w:r>
    </w:p>
    <w:p w:rsidR="005E532C" w:rsidRPr="002F663C" w:rsidP="00B16ACF" w14:paraId="0362E059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Worth mentioning is that this standard complies with the following:</w:t>
      </w:r>
    </w:p>
    <w:p w:rsidR="005E532C" w:rsidRPr="002F663C" w:rsidP="00B16ACF" w14:paraId="03456FF5" w14:textId="77777777">
      <w:pPr>
        <w:numPr>
          <w:ilvl w:val="0"/>
          <w:numId w:val="17"/>
        </w:num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EN 643/2014.</w:t>
      </w:r>
    </w:p>
    <w:p w:rsidR="005E532C" w:rsidRPr="002F663C" w:rsidP="00B16ACF" w14:paraId="19E4B145" w14:textId="77777777">
      <w:pPr>
        <w:numPr>
          <w:ilvl w:val="0"/>
          <w:numId w:val="17"/>
        </w:num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IS 17317/2019.</w:t>
      </w:r>
    </w:p>
    <w:p w:rsidR="005E532C" w:rsidRPr="002F663C" w:rsidP="00B16ACF" w14:paraId="75715E6F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Producers and importers are kept informed of any amendments in the Egyptian standards through the publication of administrative orders in the official gazette.</w:t>
      </w:r>
    </w:p>
    <w:p w:rsidR="005E532C" w:rsidRPr="002F663C" w:rsidP="00B16ACF" w14:paraId="1940CC47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i/>
          <w:iCs/>
          <w:szCs w:val="18"/>
        </w:rPr>
        <w:t>Proposed date of adoption:</w:t>
      </w:r>
      <w:r w:rsidRPr="002F663C">
        <w:rPr>
          <w:rFonts w:eastAsia="Calibri" w:cs="Times New Roman"/>
          <w:szCs w:val="18"/>
        </w:rPr>
        <w:t xml:space="preserve"> 22 October 2025.</w:t>
      </w:r>
    </w:p>
    <w:p w:rsidR="005E532C" w:rsidRPr="002F663C" w:rsidP="00B16ACF" w14:paraId="65E96E52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i/>
          <w:iCs/>
          <w:szCs w:val="18"/>
        </w:rPr>
        <w:t>Proposed date of entry into force:</w:t>
      </w:r>
      <w:r w:rsidRPr="002F663C">
        <w:rPr>
          <w:rFonts w:eastAsia="Calibri" w:cs="Times New Roman"/>
          <w:szCs w:val="18"/>
        </w:rPr>
        <w:t xml:space="preserve"> The day following the date of publication in the official gazette.</w:t>
      </w:r>
    </w:p>
    <w:p w:rsidR="005E532C" w:rsidRPr="002F663C" w:rsidP="00B16ACF" w14:paraId="473A3846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Agency or authority designated to handle comments and text available from:</w:t>
      </w:r>
    </w:p>
    <w:p w:rsidR="005E532C" w:rsidRPr="002F663C" w:rsidP="00B16ACF" w14:paraId="1F8DB245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National Enquiry Point</w:t>
      </w:r>
    </w:p>
    <w:p w:rsidR="005E532C" w:rsidRPr="002F663C" w:rsidP="00B16ACF" w14:paraId="19FCB691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Egyptian Organization for Standardization and Quality</w:t>
      </w:r>
    </w:p>
    <w:p w:rsidR="005E532C" w:rsidRPr="002F663C" w:rsidP="00B16ACF" w14:paraId="0EF4A6AE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16 Tadreeb El-Modarrebeen St., Ameriya, Cairo - Egypt</w:t>
      </w:r>
    </w:p>
    <w:p w:rsidR="005E532C" w:rsidRPr="002F663C" w:rsidP="00B16ACF" w14:paraId="5AAB180F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 xml:space="preserve">E-mail: </w:t>
      </w:r>
      <w:hyperlink r:id="rId6" w:history="1">
        <w:r w:rsidRPr="002F663C">
          <w:rPr>
            <w:rFonts w:eastAsia="Calibri" w:cs="Times New Roman"/>
            <w:color w:val="0000FF"/>
            <w:szCs w:val="18"/>
            <w:u w:val="single"/>
          </w:rPr>
          <w:t>eos@eos.org.eg/</w:t>
        </w:r>
      </w:hyperlink>
      <w:hyperlink r:id="rId7" w:history="1">
        <w:r w:rsidRPr="002F663C">
          <w:rPr>
            <w:rFonts w:eastAsia="Calibri" w:cs="Times New Roman"/>
            <w:color w:val="0000FF"/>
            <w:szCs w:val="18"/>
            <w:u w:val="single"/>
          </w:rPr>
          <w:t>eos.tbt@eos.org.eg</w:t>
        </w:r>
      </w:hyperlink>
    </w:p>
    <w:p w:rsidR="005E532C" w:rsidRPr="002F663C" w:rsidP="00B16ACF" w14:paraId="70C6CFC9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 xml:space="preserve">Website: </w:t>
      </w:r>
      <w:hyperlink r:id="rId8" w:history="1">
        <w:r w:rsidRPr="002F663C">
          <w:rPr>
            <w:rFonts w:eastAsia="Calibri" w:cs="Times New Roman"/>
            <w:color w:val="0000FF"/>
            <w:szCs w:val="18"/>
            <w:u w:val="single"/>
          </w:rPr>
          <w:t>http://www.eos.org.eg</w:t>
        </w:r>
      </w:hyperlink>
    </w:p>
    <w:p w:rsidR="005E532C" w:rsidRPr="002F663C" w:rsidP="00B16ACF" w14:paraId="161E5825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Tel: + (202) 22845528</w:t>
      </w:r>
    </w:p>
    <w:p w:rsidR="005E532C" w:rsidRPr="002F663C" w:rsidP="00B16ACF" w14:paraId="25283C50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Fax: + (202) 22845504</w:t>
      </w:r>
    </w:p>
    <w:p w:rsidR="006C5A96" w:rsidP="006C5A96" w14:paraId="139E9DBC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4715F283" w14:textId="77777777">
      <w:pPr>
        <w:jc w:val="center"/>
        <w:rPr>
          <w:b/>
        </w:rPr>
      </w:pPr>
    </w:p>
    <w:p w:rsidR="00A1565D" w:rsidP="003971FF" w14:paraId="300574CA" w14:textId="77777777">
      <w:pPr>
        <w:jc w:val="center"/>
        <w:rPr>
          <w:b/>
        </w:rPr>
      </w:pPr>
    </w:p>
    <w:sectPr w:rsidSect="006C5A9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1B706665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374B4E3E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276831D4" w14:textId="77777777">
      <w:r>
        <w:separator/>
      </w:r>
    </w:p>
  </w:footnote>
  <w:footnote w:type="continuationSeparator" w:id="1">
    <w:p w:rsidR="004D3A6A" w:rsidP="00ED54E0" w14:paraId="0417D627" w14:textId="77777777">
      <w:r>
        <w:continuationSeparator/>
      </w:r>
    </w:p>
  </w:footnote>
  <w:footnote w:id="2">
    <w:p w:rsidR="007F6EA2" w14:paraId="2964DCC9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6D8F9536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</w:t>
    </w:r>
    <w:r>
      <w:t>Add.*</w:t>
    </w:r>
    <w:bookmarkEnd w:id="2"/>
  </w:p>
  <w:p w:rsidR="004D4D19" w:rsidRPr="00DD3DD7" w:rsidP="00DD3DD7" w14:paraId="385C2471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41EEC536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0010915F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RPr="00DD3DD7" w:rsidP="00DD3DD7" w14:paraId="6A22ABFA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G/TBT/N/EGY/3/Add.96</w:t>
    </w:r>
    <w:bookmarkEnd w:id="3"/>
  </w:p>
  <w:p w:rsidR="00DD3DD7" w:rsidRPr="00DD3DD7" w:rsidP="00DD3DD7" w14:paraId="4F2C95E4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7C7F2E0E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3616D44F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2E731057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6D2636A2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6E0AC6A1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409F1B69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0F46AB35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2522BC50" w14:textId="77777777">
          <w:pPr>
            <w:jc w:val="right"/>
            <w:rPr>
              <w:b/>
              <w:szCs w:val="16"/>
            </w:rPr>
          </w:pPr>
        </w:p>
      </w:tc>
    </w:tr>
    <w:tr w14:paraId="4AD69D63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32EB5686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DD3DD7" w:rsidRPr="002F663C" w:rsidP="00DD3DD7" w14:paraId="0963222F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G/TBT/N/EGY/3/Add.96</w:t>
          </w:r>
          <w:bookmarkEnd w:id="4"/>
        </w:p>
        <w:p w:rsidR="00C14444" w:rsidRPr="00C14444" w:rsidP="00C14444" w14:paraId="3B230DD6" w14:textId="77777777">
          <w:pPr>
            <w:jc w:val="center"/>
            <w:rPr>
              <w:szCs w:val="16"/>
            </w:rPr>
          </w:pPr>
        </w:p>
      </w:tc>
    </w:tr>
    <w:tr w14:paraId="6323C70B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2660C638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69A1115B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6 November 2025</w:t>
          </w:r>
          <w:bookmarkEnd w:id="5"/>
        </w:p>
      </w:tc>
    </w:tr>
    <w:tr w14:paraId="76231C1E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6E97DBEB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(25-7239)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52DCA7ED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6DFDDBEF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3BFA8FC1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1669A579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3EEB5CE1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D526BB"/>
    <w:multiLevelType w:val="hybridMultilevel"/>
    <w:tmpl w:val="63D526B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 w16cid:durableId="92675646">
    <w:abstractNumId w:val="9"/>
  </w:num>
  <w:num w:numId="2" w16cid:durableId="411512636">
    <w:abstractNumId w:val="7"/>
  </w:num>
  <w:num w:numId="3" w16cid:durableId="101070019">
    <w:abstractNumId w:val="6"/>
  </w:num>
  <w:num w:numId="4" w16cid:durableId="1259947562">
    <w:abstractNumId w:val="5"/>
  </w:num>
  <w:num w:numId="5" w16cid:durableId="1310861031">
    <w:abstractNumId w:val="4"/>
  </w:num>
  <w:num w:numId="6" w16cid:durableId="265893039">
    <w:abstractNumId w:val="12"/>
  </w:num>
  <w:num w:numId="7" w16cid:durableId="1682852293">
    <w:abstractNumId w:val="11"/>
  </w:num>
  <w:num w:numId="8" w16cid:durableId="28921944">
    <w:abstractNumId w:val="10"/>
  </w:num>
  <w:num w:numId="9" w16cid:durableId="176410790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70056250">
    <w:abstractNumId w:val="13"/>
  </w:num>
  <w:num w:numId="11" w16cid:durableId="592208785">
    <w:abstractNumId w:val="8"/>
  </w:num>
  <w:num w:numId="12" w16cid:durableId="286395805">
    <w:abstractNumId w:val="3"/>
  </w:num>
  <w:num w:numId="13" w16cid:durableId="1838617048">
    <w:abstractNumId w:val="2"/>
  </w:num>
  <w:num w:numId="14" w16cid:durableId="1015961857">
    <w:abstractNumId w:val="1"/>
  </w:num>
  <w:num w:numId="15" w16cid:durableId="268973718">
    <w:abstractNumId w:val="0"/>
  </w:num>
  <w:num w:numId="16" w16cid:durableId="1499728723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  <w:num w:numId="17" w16cid:durableId="40653550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0F5423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E532C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B5F18"/>
    <w:rsid w:val="007E6507"/>
    <w:rsid w:val="007F2B8E"/>
    <w:rsid w:val="007F32D1"/>
    <w:rsid w:val="007F38C2"/>
    <w:rsid w:val="007F6EA2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590A3E"/>
  <w15:docId w15:val="{C4032C3A-0AD5-459F-833F-9260578DB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hyperlink" Target="mailto:eos@idsc.net.eg/" TargetMode="External" /><Relationship Id="rId7" Type="http://schemas.openxmlformats.org/officeDocument/2006/relationships/hyperlink" Target="mailto:eos.tbt@eos.org.eg" TargetMode="External" /><Relationship Id="rId8" Type="http://schemas.openxmlformats.org/officeDocument/2006/relationships/hyperlink" Target="http://www.eos.org.eg/" TargetMode="External" /><Relationship Id="rId9" Type="http://schemas.openxmlformats.org/officeDocument/2006/relationships/header" Target="head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greenleaves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2</Pages>
  <Words>353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Greenleaves, Jane</dc:creator>
  <cp:lastModifiedBy>Greenleaves, Jane</cp:lastModifiedBy>
  <cp:revision>2</cp:revision>
  <cp:lastPrinted>2019-10-23T07:32:00Z</cp:lastPrinted>
  <dcterms:created xsi:type="dcterms:W3CDTF">2025-11-06T14:34:00Z</dcterms:created>
  <dcterms:modified xsi:type="dcterms:W3CDTF">2025-11-06T14:34:00Z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NC</vt:lpwstr>
  </property>
</Properties>
</file>