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D78C9" w:rsidP="00DD3DD7" w14:paraId="53113BCB" w14:textId="77777777">
      <w:pPr>
        <w:pStyle w:val="Title"/>
      </w:pPr>
      <w:r w:rsidRPr="002F663C">
        <w:t>NOTIFICATION</w:t>
      </w:r>
    </w:p>
    <w:p w:rsidR="002F663C" w:rsidRPr="002F663C" w:rsidP="00DD3DD7" w14:paraId="572FCF42" w14:textId="77777777">
      <w:pPr>
        <w:pStyle w:val="Title3"/>
      </w:pPr>
      <w:r w:rsidRPr="002F663C">
        <w:t>Addendum</w:t>
      </w:r>
    </w:p>
    <w:p w:rsidR="002F663C" w:rsidP="001E2E4A" w14:paraId="602F021F" w14:textId="77777777">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12 May 2025, is being circulated at the request of the </w:t>
      </w:r>
      <w:r>
        <w:rPr>
          <w:rFonts w:eastAsia="Calibri" w:cs="Times New Roman"/>
        </w:rPr>
        <w:t>d</w:t>
      </w:r>
      <w:r w:rsidRPr="002F663C">
        <w:rPr>
          <w:rFonts w:eastAsia="Calibri" w:cs="Times New Roman"/>
        </w:rPr>
        <w:t xml:space="preserve">elegation of </w:t>
      </w:r>
      <w:r w:rsidRPr="002F663C">
        <w:rPr>
          <w:rFonts w:eastAsia="Calibri" w:cs="Times New Roman"/>
          <w:u w:val="single"/>
        </w:rPr>
        <w:t>Egypt</w:t>
      </w:r>
      <w:r w:rsidRPr="002F663C">
        <w:rPr>
          <w:rFonts w:eastAsia="Calibri" w:cs="Times New Roman"/>
        </w:rPr>
        <w:t>.</w:t>
      </w:r>
    </w:p>
    <w:p w:rsidR="001E2E4A" w:rsidRPr="002F663C" w:rsidP="001E2E4A" w14:paraId="067155BA" w14:textId="77777777">
      <w:pPr>
        <w:rPr>
          <w:rFonts w:eastAsia="Calibri" w:cs="Times New Roman"/>
        </w:rPr>
      </w:pPr>
    </w:p>
    <w:p w:rsidR="002F663C" w:rsidRPr="002F663C" w:rsidP="002F663C" w14:paraId="44F27AB7" w14:textId="77777777">
      <w:pPr>
        <w:jc w:val="center"/>
        <w:rPr>
          <w:rFonts w:eastAsia="Calibri" w:cs="Times New Roman"/>
          <w:b/>
        </w:rPr>
      </w:pPr>
      <w:r w:rsidRPr="002F663C">
        <w:rPr>
          <w:rFonts w:eastAsia="Calibri" w:cs="Times New Roman"/>
          <w:b/>
        </w:rPr>
        <w:t>_______________</w:t>
      </w:r>
    </w:p>
    <w:p w:rsidR="002F663C" w:rsidP="002F663C" w14:paraId="255A9686" w14:textId="77777777">
      <w:pPr>
        <w:rPr>
          <w:rFonts w:eastAsia="Calibri" w:cs="Times New Roman"/>
        </w:rPr>
      </w:pPr>
    </w:p>
    <w:p w:rsidR="00C14444" w:rsidRPr="002F663C" w:rsidP="002F663C" w14:paraId="1F4D5691" w14:textId="77777777">
      <w:pPr>
        <w:rPr>
          <w:rFonts w:eastAsia="Calibri" w:cs="Times New Roman"/>
        </w:rPr>
      </w:pPr>
    </w:p>
    <w:p w:rsidR="002F663C" w:rsidRPr="002F663C" w:rsidP="002F663C" w14:paraId="74FEC1E1" w14:textId="77777777">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Minister of Industry and Transport</w:t>
      </w:r>
      <w:r w:rsidRPr="00022513">
        <w:rPr>
          <w:rFonts w:eastAsia="Calibri" w:cs="Times New Roman"/>
          <w:b/>
          <w:bCs/>
          <w:szCs w:val="18"/>
        </w:rPr>
        <w:t xml:space="preserve"> </w:t>
      </w:r>
      <w:r w:rsidRPr="00022513">
        <w:rPr>
          <w:rFonts w:eastAsia="Calibri" w:cs="Times New Roman"/>
          <w:bCs/>
          <w:szCs w:val="18"/>
        </w:rPr>
        <w:t xml:space="preserve">Decree No. 112/2025 and Minister of Investment and </w:t>
      </w:r>
      <w:r w:rsidRPr="00022513">
        <w:rPr>
          <w:rFonts w:eastAsia="Calibri" w:cs="Times New Roman"/>
          <w:bCs/>
          <w:szCs w:val="18"/>
        </w:rPr>
        <w:t>Foreign Trade Decree No. 148/2025</w:t>
      </w:r>
    </w:p>
    <w:p w:rsidR="002F663C" w:rsidRPr="002F663C" w:rsidP="002F663C" w14:paraId="6C60C055" w14:textId="77777777">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tblPr>
      <w:tblGrid>
        <w:gridCol w:w="851"/>
        <w:gridCol w:w="8198"/>
      </w:tblGrid>
      <w:tr w14:paraId="0A3CEB3E" w14:textId="77777777" w:rsidTr="00E9471B">
        <w:tblPrEx>
          <w:tblW w:w="9049" w:type="dxa"/>
          <w:tblLayout w:type="fixed"/>
          <w:tblLook w:val="04A0"/>
        </w:tblPrEx>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F663C" w:rsidRPr="002F663C" w:rsidP="00C14444" w14:paraId="56BF76C9" w14:textId="77777777">
            <w:pPr>
              <w:spacing w:before="60" w:after="60"/>
              <w:ind w:left="567" w:hanging="567"/>
              <w:rPr>
                <w:rFonts w:eastAsia="Calibri" w:cs="Times New Roman"/>
                <w:b/>
              </w:rPr>
            </w:pPr>
            <w:bookmarkStart w:id="0" w:name="_Hlk24973414"/>
            <w:r w:rsidRPr="002F663C">
              <w:rPr>
                <w:rFonts w:eastAsia="Calibri" w:cs="Times New Roman"/>
                <w:b/>
              </w:rPr>
              <w:t>Reason for Addendum:</w:t>
            </w:r>
          </w:p>
        </w:tc>
      </w:tr>
      <w:tr w14:paraId="79A2850C" w14:textId="77777777" w:rsidTr="00E9471B">
        <w:tblPrEx>
          <w:tblW w:w="9049" w:type="dxa"/>
          <w:tblLayout w:type="fixed"/>
          <w:tblLook w:val="04A0"/>
        </w:tblPrEx>
        <w:tc>
          <w:tcPr>
            <w:tcW w:w="851" w:type="dxa"/>
            <w:shd w:val="clear" w:color="auto" w:fill="auto"/>
          </w:tcPr>
          <w:p w:rsidR="002F663C" w:rsidRPr="00711F9C" w:rsidP="00C14444" w14:paraId="5E19646A"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EB7B40" w14:paraId="0F2E2DDF" w14:textId="77777777">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p>
        </w:tc>
      </w:tr>
      <w:tr w14:paraId="50B1CDB0" w14:textId="77777777" w:rsidTr="00E9471B">
        <w:tblPrEx>
          <w:tblW w:w="9049" w:type="dxa"/>
          <w:tblLayout w:type="fixed"/>
          <w:tblLook w:val="04A0"/>
        </w:tblPrEx>
        <w:tc>
          <w:tcPr>
            <w:tcW w:w="851" w:type="dxa"/>
            <w:shd w:val="clear" w:color="auto" w:fill="auto"/>
          </w:tcPr>
          <w:p w:rsidR="002F663C" w:rsidRPr="00711F9C" w:rsidP="00C14444" w14:paraId="6AD710AC"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C14444" w14:paraId="57A7854D"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p>
        </w:tc>
      </w:tr>
      <w:tr w14:paraId="4D5046FB" w14:textId="77777777" w:rsidTr="00E9471B">
        <w:tblPrEx>
          <w:tblW w:w="9049" w:type="dxa"/>
          <w:tblLayout w:type="fixed"/>
          <w:tblLook w:val="04A0"/>
        </w:tblPrEx>
        <w:tc>
          <w:tcPr>
            <w:tcW w:w="851" w:type="dxa"/>
            <w:shd w:val="clear" w:color="auto" w:fill="auto"/>
          </w:tcPr>
          <w:p w:rsidR="002F663C" w:rsidRPr="00711F9C" w:rsidP="00C14444" w14:paraId="502CB64C"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C14444" w14:paraId="5E5A67E3"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p>
        </w:tc>
      </w:tr>
      <w:tr w14:paraId="3F0FE3D7" w14:textId="77777777" w:rsidTr="00E9471B">
        <w:tblPrEx>
          <w:tblW w:w="9049" w:type="dxa"/>
          <w:tblLayout w:type="fixed"/>
          <w:tblLook w:val="04A0"/>
        </w:tblPrEx>
        <w:tc>
          <w:tcPr>
            <w:tcW w:w="851" w:type="dxa"/>
            <w:shd w:val="clear" w:color="auto" w:fill="auto"/>
          </w:tcPr>
          <w:p w:rsidR="002F663C" w:rsidRPr="00711F9C" w:rsidP="00C14444" w14:paraId="1BBFEB05"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C14444" w14:paraId="2CA7DE82"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p>
        </w:tc>
      </w:tr>
      <w:tr w14:paraId="4A3C4C13" w14:textId="77777777" w:rsidTr="00E9471B">
        <w:tblPrEx>
          <w:tblW w:w="9049" w:type="dxa"/>
          <w:tblLayout w:type="fixed"/>
          <w:tblLook w:val="04A0"/>
        </w:tblPrEx>
        <w:tc>
          <w:tcPr>
            <w:tcW w:w="851" w:type="dxa"/>
            <w:shd w:val="clear" w:color="auto" w:fill="auto"/>
          </w:tcPr>
          <w:p w:rsidR="002F663C" w:rsidRPr="00711F9C" w:rsidP="00C14444" w14:paraId="5FA474F0"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EB7B40" w14:paraId="4327001E" w14:textId="77777777">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 w:name="_Ref40866877"/>
            <w:r>
              <w:rPr>
                <w:rStyle w:val="FootnoteReference"/>
                <w:rFonts w:eastAsia="Calibri" w:cs="Times New Roman"/>
              </w:rPr>
              <w:footnoteReference w:id="2"/>
            </w:r>
            <w:bookmarkEnd w:id="1"/>
            <w:r w:rsidRPr="002F663C">
              <w:rPr>
                <w:rFonts w:eastAsia="Calibri" w:cs="Times New Roman"/>
              </w:rPr>
              <w:t xml:space="preserve">: </w:t>
            </w:r>
          </w:p>
        </w:tc>
      </w:tr>
      <w:tr w14:paraId="513E9EA3" w14:textId="77777777" w:rsidTr="00E9471B">
        <w:tblPrEx>
          <w:tblW w:w="9049" w:type="dxa"/>
          <w:tblLayout w:type="fixed"/>
          <w:tblLook w:val="04A0"/>
        </w:tblPrEx>
        <w:tc>
          <w:tcPr>
            <w:tcW w:w="851" w:type="dxa"/>
            <w:shd w:val="clear" w:color="auto" w:fill="auto"/>
          </w:tcPr>
          <w:p w:rsidR="002F663C" w:rsidRPr="00711F9C" w:rsidP="00C14444" w14:paraId="063F5231"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EB7B40" w14:paraId="4640DABF"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p>
          <w:p w:rsidR="002F663C" w:rsidRPr="002F663C" w:rsidP="00EB7B40" w14:paraId="4114AD06" w14:textId="77777777">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p>
        </w:tc>
      </w:tr>
      <w:tr w14:paraId="303F5775" w14:textId="77777777" w:rsidTr="00E9471B">
        <w:tblPrEx>
          <w:tblW w:w="9049" w:type="dxa"/>
          <w:tblLayout w:type="fixed"/>
          <w:tblLook w:val="04A0"/>
        </w:tblPrEx>
        <w:tc>
          <w:tcPr>
            <w:tcW w:w="851" w:type="dxa"/>
            <w:shd w:val="clear" w:color="auto" w:fill="auto"/>
          </w:tcPr>
          <w:p w:rsidR="002F663C" w:rsidRPr="00711F9C" w:rsidP="00C14444" w14:paraId="6A58BCC9"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C14444" w14:paraId="694F6899" w14:textId="77777777">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p>
          <w:p w:rsidR="002F663C" w:rsidRPr="002F663C" w:rsidP="00C14444" w14:paraId="266C9FE8" w14:textId="77777777">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p>
        </w:tc>
      </w:tr>
      <w:tr w14:paraId="2262EF0D" w14:textId="77777777" w:rsidTr="00E9471B">
        <w:tblPrEx>
          <w:tblW w:w="9049" w:type="dxa"/>
          <w:tblLayout w:type="fixed"/>
          <w:tblLook w:val="04A0"/>
        </w:tblPrEx>
        <w:tc>
          <w:tcPr>
            <w:tcW w:w="851" w:type="dxa"/>
            <w:shd w:val="clear" w:color="auto" w:fill="auto"/>
          </w:tcPr>
          <w:p w:rsidR="002F663C" w:rsidRPr="00711F9C" w:rsidP="00C14444" w14:paraId="090AE49F"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D95F69" w14:paraId="01F15552" w14:textId="77777777">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Pr="00370A55" w:rsidR="00370A55">
              <w:rPr>
                <w:rFonts w:eastAsia="Calibri" w:cs="Times New Roman"/>
                <w:vertAlign w:val="superscript"/>
              </w:rPr>
              <w:fldChar w:fldCharType="begin"/>
            </w:r>
            <w:r w:rsidRPr="00370A55" w:rsid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Pr="00370A55" w:rsidR="00370A55">
              <w:rPr>
                <w:rFonts w:eastAsia="Calibri" w:cs="Times New Roman"/>
                <w:vertAlign w:val="superscript"/>
              </w:rPr>
              <w:fldChar w:fldCharType="separate"/>
            </w:r>
            <w:r w:rsidRPr="00370A55" w:rsidR="00370A55">
              <w:rPr>
                <w:rFonts w:eastAsia="Calibri" w:cs="Times New Roman"/>
                <w:vertAlign w:val="superscript"/>
              </w:rPr>
              <w:t>1</w:t>
            </w:r>
            <w:r w:rsidRPr="00370A55" w:rsid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p>
        </w:tc>
      </w:tr>
      <w:tr w14:paraId="7257431E" w14:textId="77777777" w:rsidTr="00E9471B">
        <w:tblPrEx>
          <w:tblW w:w="9049" w:type="dxa"/>
          <w:tblLayout w:type="fixed"/>
          <w:tblLook w:val="04A0"/>
        </w:tblPrEx>
        <w:tc>
          <w:tcPr>
            <w:tcW w:w="851" w:type="dxa"/>
            <w:tcBorders>
              <w:bottom w:val="double" w:sz="4" w:space="0" w:color="auto"/>
            </w:tcBorders>
            <w:shd w:val="clear" w:color="auto" w:fill="auto"/>
          </w:tcPr>
          <w:p w:rsidR="002F663C" w:rsidRPr="00711F9C" w:rsidP="00C14444" w14:paraId="48798B68" w14:textId="77777777">
            <w:pPr>
              <w:spacing w:before="60" w:after="60"/>
              <w:ind w:left="567" w:hanging="567"/>
              <w:rPr>
                <w:rFonts w:eastAsia="Calibri" w:cs="Times New Roman"/>
                <w:szCs w:val="18"/>
              </w:rPr>
            </w:pPr>
            <w:r w:rsidRPr="00711F9C">
              <w:rPr>
                <w:rFonts w:eastAsia="Calibri" w:cs="Times New Roman"/>
                <w:szCs w:val="18"/>
              </w:rPr>
              <w:t>[X]</w:t>
            </w:r>
          </w:p>
        </w:tc>
        <w:tc>
          <w:tcPr>
            <w:tcW w:w="8198" w:type="dxa"/>
            <w:tcBorders>
              <w:bottom w:val="double" w:sz="4" w:space="0" w:color="auto"/>
            </w:tcBorders>
            <w:shd w:val="clear" w:color="auto" w:fill="auto"/>
          </w:tcPr>
          <w:p w:rsidR="002F663C" w:rsidRPr="002F663C" w:rsidP="00EB7B40" w14:paraId="79E602C6" w14:textId="77777777">
            <w:pPr>
              <w:spacing w:before="60" w:after="12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p>
          <w:p w:rsidR="00467A46" w:rsidP="00EB7B40" w14:paraId="080558A6" w14:textId="77777777">
            <w:pPr>
              <w:spacing w:before="120" w:after="120"/>
              <w:rPr>
                <w:rFonts w:eastAsia="Calibri" w:cs="Times New Roman"/>
              </w:rPr>
            </w:pPr>
            <w:r>
              <w:rPr>
                <w:rFonts w:eastAsia="Calibri" w:cs="Times New Roman"/>
              </w:rPr>
              <w:t>Minister of Industry and Transport Decree No. 112/2025</w:t>
            </w:r>
          </w:p>
          <w:p w:rsidR="00467A46" w:rsidP="00EB7B40" w14:paraId="50268F60" w14:textId="77777777">
            <w:pPr>
              <w:spacing w:before="120" w:after="120"/>
              <w:rPr>
                <w:rFonts w:eastAsia="Calibri" w:cs="Times New Roman"/>
              </w:rPr>
            </w:pPr>
            <w:r>
              <w:rPr>
                <w:rFonts w:eastAsia="Calibri" w:cs="Times New Roman"/>
              </w:rPr>
              <w:t>Minister of Investment and Foreign Trade Decree No. 148/2025</w:t>
            </w:r>
          </w:p>
        </w:tc>
      </w:tr>
      <w:bookmarkEnd w:id="0"/>
    </w:tbl>
    <w:p w:rsidR="002F663C" w:rsidRPr="002F663C" w:rsidP="002F663C" w14:paraId="18B6CFA9" w14:textId="77777777">
      <w:pPr>
        <w:jc w:val="left"/>
        <w:rPr>
          <w:rFonts w:eastAsia="Calibri" w:cs="Times New Roman"/>
          <w:highlight w:val="yellow"/>
        </w:rPr>
      </w:pPr>
    </w:p>
    <w:p w:rsidR="003971FF" w:rsidRPr="007F6EA2" w:rsidP="00B16ACF" w14:paraId="38494051" w14:textId="77777777">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r w:rsidRPr="002F663C">
        <w:rPr>
          <w:rFonts w:eastAsia="Calibri" w:cs="Times New Roman"/>
          <w:i/>
          <w:iCs/>
          <w:szCs w:val="18"/>
        </w:rPr>
        <w:t>Products covered</w:t>
      </w:r>
      <w:r w:rsidRPr="002F663C">
        <w:rPr>
          <w:rFonts w:eastAsia="Calibri" w:cs="Times New Roman"/>
          <w:b/>
          <w:bCs/>
          <w:szCs w:val="18"/>
        </w:rPr>
        <w:t xml:space="preserve">: </w:t>
      </w:r>
      <w:r w:rsidRPr="002F663C">
        <w:rPr>
          <w:rFonts w:eastAsia="Calibri" w:cs="Times New Roman"/>
          <w:szCs w:val="18"/>
        </w:rPr>
        <w:t xml:space="preserve">Equipments and parts </w:t>
      </w:r>
      <w:r w:rsidRPr="002F663C">
        <w:rPr>
          <w:rFonts w:eastAsia="Calibri" w:cs="Times New Roman"/>
          <w:szCs w:val="18"/>
        </w:rPr>
        <w:t>which can be fitted and/ or be used on wheeled vehicles</w:t>
      </w:r>
      <w:r w:rsidRPr="002F663C">
        <w:rPr>
          <w:rFonts w:eastAsia="Calibri" w:cs="Times New Roman"/>
          <w:b/>
          <w:bCs/>
          <w:szCs w:val="18"/>
        </w:rPr>
        <w:t xml:space="preserve"> </w:t>
      </w:r>
      <w:r w:rsidRPr="00926011">
        <w:rPr>
          <w:rFonts w:eastAsia="Calibri" w:cs="Times New Roman"/>
          <w:szCs w:val="18"/>
        </w:rPr>
        <w:t>(</w:t>
      </w:r>
      <w:r w:rsidRPr="002F663C">
        <w:rPr>
          <w:rFonts w:eastAsia="Calibri" w:cs="Times New Roman"/>
          <w:szCs w:val="18"/>
        </w:rPr>
        <w:t>Door locks, Headlights (Lanterns), Light bulbs, Speedometers, Pneumatic tires, Brakes, Horns, Exhaust purifiers, Indirect vision devices (mirrors))</w:t>
      </w:r>
    </w:p>
    <w:p w:rsidR="00B40D7F" w:rsidRPr="002F663C" w:rsidP="00B16ACF" w14:paraId="6D35268F" w14:textId="77777777">
      <w:pPr>
        <w:spacing w:before="120" w:after="120"/>
        <w:rPr>
          <w:rFonts w:eastAsia="Calibri" w:cs="Times New Roman"/>
          <w:szCs w:val="18"/>
        </w:rPr>
      </w:pPr>
      <w:r w:rsidRPr="002F663C">
        <w:rPr>
          <w:rFonts w:eastAsia="Calibri" w:cs="Times New Roman"/>
          <w:szCs w:val="18"/>
        </w:rPr>
        <w:t>This addendum concerns the notification of:</w:t>
      </w:r>
    </w:p>
    <w:p w:rsidR="00B40D7F" w:rsidRPr="002F663C" w:rsidP="00B16ACF" w14:paraId="2B153290" w14:textId="77777777">
      <w:pPr>
        <w:numPr>
          <w:ilvl w:val="0"/>
          <w:numId w:val="17"/>
        </w:numPr>
        <w:spacing w:before="120" w:after="120"/>
        <w:rPr>
          <w:rFonts w:eastAsia="Calibri" w:cs="Times New Roman"/>
          <w:szCs w:val="18"/>
        </w:rPr>
      </w:pPr>
      <w:r w:rsidRPr="002F663C">
        <w:rPr>
          <w:rFonts w:eastAsia="Calibri" w:cs="Times New Roman"/>
          <w:i/>
          <w:iCs/>
          <w:szCs w:val="18"/>
        </w:rPr>
        <w:t xml:space="preserve">Minister of Industry and Transport Decree No. 112/2025 </w:t>
      </w:r>
      <w:r w:rsidRPr="002F663C">
        <w:rPr>
          <w:rFonts w:eastAsia="Calibri" w:cs="Times New Roman"/>
          <w:szCs w:val="18"/>
        </w:rPr>
        <w:t>(1 page, in Arabic) which cancels the obligation to comply with the standards on Equipments and parts which can be fitted and/ or be used on wheeled vehicles (engineering goods and products) specified in List 44 of Ministerial Decree No. 32 / 2010 (3 pages, in Arabic).</w:t>
      </w:r>
    </w:p>
    <w:p w:rsidR="00B40D7F" w:rsidRPr="002F663C" w:rsidP="00B16ACF" w14:paraId="67418677" w14:textId="77777777">
      <w:pPr>
        <w:numPr>
          <w:ilvl w:val="0"/>
          <w:numId w:val="17"/>
        </w:numPr>
        <w:spacing w:before="120" w:after="120"/>
        <w:rPr>
          <w:rFonts w:eastAsia="Calibri" w:cs="Times New Roman"/>
          <w:szCs w:val="18"/>
        </w:rPr>
      </w:pPr>
      <w:r w:rsidRPr="002F663C">
        <w:rPr>
          <w:rFonts w:eastAsia="Calibri" w:cs="Times New Roman"/>
          <w:i/>
          <w:iCs/>
          <w:szCs w:val="18"/>
        </w:rPr>
        <w:t xml:space="preserve">Based on this update Decree No. 148/2025 </w:t>
      </w:r>
      <w:r w:rsidRPr="002F663C">
        <w:rPr>
          <w:rFonts w:eastAsia="Calibri" w:cs="Times New Roman"/>
          <w:szCs w:val="18"/>
        </w:rPr>
        <w:t xml:space="preserve">(2 pages, in Arabic) of the </w:t>
      </w:r>
      <w:r w:rsidRPr="002F663C">
        <w:rPr>
          <w:rFonts w:eastAsia="Calibri" w:cs="Times New Roman"/>
          <w:i/>
          <w:iCs/>
          <w:szCs w:val="18"/>
        </w:rPr>
        <w:t>Minister of Investment and Foreign Trade was issued</w:t>
      </w:r>
      <w:r w:rsidRPr="002F663C">
        <w:rPr>
          <w:rFonts w:eastAsia="Calibri" w:cs="Times New Roman"/>
          <w:b/>
          <w:bCs/>
          <w:szCs w:val="18"/>
        </w:rPr>
        <w:t xml:space="preserve"> </w:t>
      </w:r>
      <w:r w:rsidRPr="002F663C">
        <w:rPr>
          <w:rFonts w:eastAsia="Calibri" w:cs="Times New Roman"/>
          <w:szCs w:val="18"/>
        </w:rPr>
        <w:t>to</w:t>
      </w:r>
      <w:r w:rsidRPr="002F663C">
        <w:rPr>
          <w:rFonts w:eastAsia="Calibri" w:cs="Times New Roman"/>
          <w:b/>
          <w:bCs/>
          <w:szCs w:val="18"/>
        </w:rPr>
        <w:t xml:space="preserve"> </w:t>
      </w:r>
      <w:r w:rsidRPr="002F663C">
        <w:rPr>
          <w:rFonts w:eastAsia="Calibri" w:cs="Times New Roman"/>
          <w:szCs w:val="18"/>
        </w:rPr>
        <w:t xml:space="preserve">amend Item No. (11) of Annex (3) attached to the Executive </w:t>
      </w:r>
      <w:r w:rsidRPr="002F663C">
        <w:rPr>
          <w:rFonts w:eastAsia="Calibri" w:cs="Times New Roman"/>
          <w:szCs w:val="18"/>
        </w:rPr>
        <w:t>Regulation of Law No. 118 for year 1975 on import and export issued by Ministerial Decree No. 770/2005 which formerly required compliance with these standards as a condition for import clearance of those goods.</w:t>
      </w:r>
    </w:p>
    <w:p w:rsidR="00B40D7F" w:rsidRPr="002F663C" w:rsidP="00B16ACF" w14:paraId="57D0805C" w14:textId="77777777">
      <w:pPr>
        <w:numPr>
          <w:ilvl w:val="0"/>
          <w:numId w:val="17"/>
        </w:numPr>
        <w:spacing w:before="120" w:after="120"/>
        <w:rPr>
          <w:rFonts w:eastAsia="Calibri" w:cs="Times New Roman"/>
          <w:szCs w:val="18"/>
        </w:rPr>
      </w:pPr>
      <w:r w:rsidRPr="002F663C">
        <w:rPr>
          <w:rFonts w:eastAsia="Calibri" w:cs="Times New Roman"/>
          <w:szCs w:val="18"/>
        </w:rPr>
        <w:t>Ministerial Decree No.148/2025 now specifies the conditions for visual inspection of the specified goods and products subject to the provisions of the Agreement concerning the Adoption of Harmonized Technical United Nations Regulations for Wheeled Vehicles, equipments and parts which can be fitted and/ or be used on wheeled vehicles.</w:t>
      </w:r>
    </w:p>
    <w:p w:rsidR="00B40D7F" w:rsidRPr="002F663C" w:rsidP="00B16ACF" w14:paraId="74D9304C" w14:textId="77777777">
      <w:pPr>
        <w:spacing w:before="120" w:after="120"/>
        <w:rPr>
          <w:rFonts w:eastAsia="Calibri" w:cs="Times New Roman"/>
          <w:szCs w:val="18"/>
        </w:rPr>
      </w:pPr>
      <w:r w:rsidRPr="002F663C">
        <w:rPr>
          <w:rFonts w:eastAsia="Calibri" w:cs="Times New Roman"/>
          <w:i/>
          <w:iCs/>
          <w:szCs w:val="18"/>
        </w:rPr>
        <w:t>Minister of Industry and Transport Decree No. 112/2025</w:t>
      </w:r>
    </w:p>
    <w:p w:rsidR="00B40D7F" w:rsidRPr="002F663C" w:rsidP="00B16ACF" w14:paraId="4B1EBC82" w14:textId="77777777">
      <w:pPr>
        <w:spacing w:before="120" w:after="120"/>
        <w:rPr>
          <w:rFonts w:eastAsia="Calibri" w:cs="Times New Roman"/>
          <w:szCs w:val="18"/>
        </w:rPr>
      </w:pPr>
      <w:r w:rsidRPr="002F663C">
        <w:rPr>
          <w:rFonts w:eastAsia="Calibri" w:cs="Times New Roman"/>
          <w:szCs w:val="18"/>
        </w:rPr>
        <w:t>Date of adoption: 8 April 2025.</w:t>
      </w:r>
    </w:p>
    <w:p w:rsidR="00B40D7F" w:rsidRPr="002F663C" w:rsidP="00B16ACF" w14:paraId="7532AC74" w14:textId="77777777">
      <w:pPr>
        <w:spacing w:before="120" w:after="120"/>
        <w:rPr>
          <w:rFonts w:eastAsia="Calibri" w:cs="Times New Roman"/>
          <w:szCs w:val="18"/>
        </w:rPr>
      </w:pPr>
      <w:r w:rsidRPr="002F663C">
        <w:rPr>
          <w:rFonts w:eastAsia="Calibri" w:cs="Times New Roman"/>
          <w:szCs w:val="18"/>
        </w:rPr>
        <w:t>Date of entry into force: 12 May 2025.</w:t>
      </w:r>
    </w:p>
    <w:p w:rsidR="00B40D7F" w:rsidRPr="002F663C" w:rsidP="00B16ACF" w14:paraId="340EC731" w14:textId="77777777">
      <w:pPr>
        <w:spacing w:before="120" w:after="120"/>
        <w:rPr>
          <w:rFonts w:eastAsia="Calibri" w:cs="Times New Roman"/>
          <w:szCs w:val="18"/>
        </w:rPr>
      </w:pPr>
      <w:r w:rsidRPr="002F663C">
        <w:rPr>
          <w:rFonts w:eastAsia="Calibri" w:cs="Times New Roman"/>
          <w:i/>
          <w:iCs/>
          <w:szCs w:val="18"/>
        </w:rPr>
        <w:t>Minister of Investment and Foreign Trade Decree No. 148/2025</w:t>
      </w:r>
    </w:p>
    <w:p w:rsidR="00B40D7F" w:rsidRPr="002F663C" w:rsidP="00B16ACF" w14:paraId="35FC6FC1" w14:textId="77777777">
      <w:pPr>
        <w:spacing w:before="120" w:after="120"/>
        <w:rPr>
          <w:rFonts w:eastAsia="Calibri" w:cs="Times New Roman"/>
          <w:szCs w:val="18"/>
        </w:rPr>
      </w:pPr>
      <w:r w:rsidRPr="002F663C">
        <w:rPr>
          <w:rFonts w:eastAsia="Calibri" w:cs="Times New Roman"/>
          <w:szCs w:val="18"/>
        </w:rPr>
        <w:t>Date of adoption: 9 April 2025.</w:t>
      </w:r>
    </w:p>
    <w:p w:rsidR="00B40D7F" w:rsidRPr="002F663C" w:rsidP="00B16ACF" w14:paraId="3058077F" w14:textId="77777777">
      <w:pPr>
        <w:spacing w:before="120" w:after="120"/>
        <w:rPr>
          <w:rFonts w:eastAsia="Calibri" w:cs="Times New Roman"/>
          <w:szCs w:val="18"/>
        </w:rPr>
      </w:pPr>
      <w:r w:rsidRPr="002F663C">
        <w:rPr>
          <w:rFonts w:eastAsia="Calibri" w:cs="Times New Roman"/>
          <w:szCs w:val="18"/>
        </w:rPr>
        <w:t xml:space="preserve">Date of </w:t>
      </w:r>
      <w:r w:rsidRPr="002F663C">
        <w:rPr>
          <w:rFonts w:eastAsia="Calibri" w:cs="Times New Roman"/>
          <w:szCs w:val="18"/>
        </w:rPr>
        <w:t>entry into force: 23 April 2025.</w:t>
      </w:r>
    </w:p>
    <w:p w:rsidR="00B40D7F" w:rsidRPr="002F663C" w:rsidP="00B16ACF" w14:paraId="3C245872" w14:textId="77777777">
      <w:pPr>
        <w:spacing w:before="120" w:after="120"/>
        <w:rPr>
          <w:rFonts w:eastAsia="Calibri" w:cs="Times New Roman"/>
          <w:szCs w:val="18"/>
        </w:rPr>
      </w:pPr>
      <w:r w:rsidRPr="002F663C">
        <w:rPr>
          <w:rFonts w:eastAsia="Calibri" w:cs="Times New Roman"/>
          <w:i/>
          <w:iCs/>
          <w:szCs w:val="18"/>
        </w:rPr>
        <w:t>Agency or authority designated to handle comments and text available from:</w:t>
      </w:r>
    </w:p>
    <w:p w:rsidR="00B40D7F" w:rsidRPr="002F663C" w:rsidP="00B16ACF" w14:paraId="5961E7ED" w14:textId="77777777">
      <w:pPr>
        <w:spacing w:before="120" w:after="120"/>
        <w:rPr>
          <w:rFonts w:eastAsia="Calibri" w:cs="Times New Roman"/>
          <w:szCs w:val="18"/>
        </w:rPr>
      </w:pPr>
      <w:r w:rsidRPr="002F663C">
        <w:rPr>
          <w:rFonts w:eastAsia="Calibri" w:cs="Times New Roman"/>
          <w:szCs w:val="18"/>
        </w:rPr>
        <w:t>National Enquiry Point</w:t>
      </w:r>
    </w:p>
    <w:p w:rsidR="00B40D7F" w:rsidRPr="002F663C" w:rsidP="00B16ACF" w14:paraId="1C0B5920" w14:textId="77777777">
      <w:pPr>
        <w:spacing w:before="120" w:after="120"/>
        <w:rPr>
          <w:rFonts w:eastAsia="Calibri" w:cs="Times New Roman"/>
          <w:szCs w:val="18"/>
        </w:rPr>
      </w:pPr>
      <w:r w:rsidRPr="002F663C">
        <w:rPr>
          <w:rFonts w:eastAsia="Calibri" w:cs="Times New Roman"/>
          <w:i/>
          <w:iCs/>
          <w:szCs w:val="18"/>
        </w:rPr>
        <w:t>Egyptian Organization for Standardization and Quality</w:t>
      </w:r>
    </w:p>
    <w:p w:rsidR="00B40D7F" w:rsidRPr="002F663C" w:rsidP="00B16ACF" w14:paraId="7A66D4EC" w14:textId="77777777">
      <w:pPr>
        <w:spacing w:before="120" w:after="120"/>
        <w:rPr>
          <w:rFonts w:eastAsia="Calibri" w:cs="Times New Roman"/>
          <w:szCs w:val="18"/>
        </w:rPr>
      </w:pPr>
      <w:r w:rsidRPr="002F663C">
        <w:rPr>
          <w:rFonts w:eastAsia="Calibri" w:cs="Times New Roman"/>
          <w:szCs w:val="18"/>
        </w:rPr>
        <w:t>16 Tadreeb El-Modarrebeen St., Ameriya, Cairo - Egypt</w:t>
      </w:r>
    </w:p>
    <w:p w:rsidR="00B40D7F" w:rsidRPr="002F663C" w:rsidP="00B16ACF" w14:paraId="560359B2" w14:textId="77777777">
      <w:pPr>
        <w:spacing w:before="120" w:after="120"/>
        <w:rPr>
          <w:rFonts w:eastAsia="Calibri" w:cs="Times New Roman"/>
          <w:szCs w:val="18"/>
        </w:rPr>
      </w:pPr>
      <w:r w:rsidRPr="002F663C">
        <w:rPr>
          <w:rFonts w:eastAsia="Calibri" w:cs="Times New Roman"/>
          <w:szCs w:val="18"/>
        </w:rPr>
        <w:t xml:space="preserve">E-mail: </w:t>
      </w:r>
      <w:hyperlink r:id="rId6" w:history="1">
        <w:r w:rsidRPr="002F663C">
          <w:rPr>
            <w:rFonts w:eastAsia="Calibri" w:cs="Times New Roman"/>
            <w:color w:val="0000FF"/>
            <w:szCs w:val="18"/>
            <w:u w:val="single"/>
          </w:rPr>
          <w:t>eos@eos.net.eg/</w:t>
        </w:r>
      </w:hyperlink>
      <w:hyperlink r:id="rId7" w:history="1">
        <w:r w:rsidRPr="002F663C">
          <w:rPr>
            <w:rFonts w:eastAsia="Calibri" w:cs="Times New Roman"/>
            <w:color w:val="0000FF"/>
            <w:szCs w:val="18"/>
            <w:u w:val="single"/>
          </w:rPr>
          <w:t>eos.tbt@eos.org.eg</w:t>
        </w:r>
      </w:hyperlink>
    </w:p>
    <w:p w:rsidR="00B40D7F" w:rsidRPr="002F663C" w:rsidP="00B16ACF" w14:paraId="5994D429" w14:textId="77777777">
      <w:pPr>
        <w:spacing w:before="120" w:after="120"/>
        <w:rPr>
          <w:rFonts w:eastAsia="Calibri" w:cs="Times New Roman"/>
          <w:szCs w:val="18"/>
        </w:rPr>
      </w:pPr>
      <w:r w:rsidRPr="002F663C">
        <w:rPr>
          <w:rFonts w:eastAsia="Calibri" w:cs="Times New Roman"/>
          <w:szCs w:val="18"/>
        </w:rPr>
        <w:t xml:space="preserve">Website: </w:t>
      </w:r>
      <w:hyperlink r:id="rId8" w:history="1">
        <w:r w:rsidRPr="002F663C">
          <w:rPr>
            <w:rFonts w:eastAsia="Calibri" w:cs="Times New Roman"/>
            <w:color w:val="0000FF"/>
            <w:szCs w:val="18"/>
            <w:u w:val="single"/>
          </w:rPr>
          <w:t>http://www.eos.org.eg</w:t>
        </w:r>
      </w:hyperlink>
    </w:p>
    <w:p w:rsidR="00B40D7F" w:rsidRPr="002F663C" w:rsidP="00B16ACF" w14:paraId="3D9C0236" w14:textId="77777777">
      <w:pPr>
        <w:spacing w:before="120" w:after="120"/>
        <w:rPr>
          <w:rFonts w:eastAsia="Calibri" w:cs="Times New Roman"/>
          <w:szCs w:val="18"/>
        </w:rPr>
      </w:pPr>
      <w:r w:rsidRPr="002F663C">
        <w:rPr>
          <w:rFonts w:eastAsia="Calibri" w:cs="Times New Roman"/>
          <w:szCs w:val="18"/>
        </w:rPr>
        <w:t>Tel: + (202) 22845528</w:t>
      </w:r>
    </w:p>
    <w:p w:rsidR="00B40D7F" w:rsidRPr="002F663C" w:rsidP="00B16ACF" w14:paraId="250D98E0" w14:textId="77777777">
      <w:pPr>
        <w:spacing w:before="120" w:after="120"/>
        <w:rPr>
          <w:rFonts w:eastAsia="Calibri" w:cs="Times New Roman"/>
          <w:szCs w:val="18"/>
        </w:rPr>
      </w:pPr>
      <w:r w:rsidRPr="002F663C">
        <w:rPr>
          <w:rFonts w:eastAsia="Calibri" w:cs="Times New Roman"/>
          <w:szCs w:val="18"/>
        </w:rPr>
        <w:t>Fax: + (202) 22845504</w:t>
      </w:r>
    </w:p>
    <w:p w:rsidR="00B40D7F" w:rsidRPr="002F663C" w:rsidP="00B16ACF" w14:paraId="15AE9940" w14:textId="77777777">
      <w:pPr>
        <w:spacing w:before="120" w:after="120"/>
        <w:rPr>
          <w:rFonts w:eastAsia="Calibri" w:cs="Times New Roman"/>
          <w:szCs w:val="18"/>
        </w:rPr>
      </w:pPr>
      <w:r w:rsidRPr="002F663C">
        <w:rPr>
          <w:rFonts w:eastAsia="Calibri" w:cs="Times New Roman"/>
          <w:i/>
          <w:iCs/>
          <w:szCs w:val="18"/>
        </w:rPr>
        <w:t>Agreements and Foreign Trade Sector- Ministry of Investment and Foreign Trade</w:t>
      </w:r>
    </w:p>
    <w:p w:rsidR="00B40D7F" w:rsidRPr="002F663C" w:rsidP="00B16ACF" w14:paraId="6639F7DA" w14:textId="77777777">
      <w:pPr>
        <w:spacing w:before="120" w:after="120"/>
        <w:rPr>
          <w:rFonts w:eastAsia="Calibri" w:cs="Times New Roman"/>
          <w:szCs w:val="18"/>
        </w:rPr>
      </w:pPr>
      <w:r w:rsidRPr="002F663C">
        <w:rPr>
          <w:rFonts w:eastAsia="Calibri" w:cs="Times New Roman"/>
          <w:szCs w:val="18"/>
        </w:rPr>
        <w:t>New Administrative Capital, Cairo- Egypt</w:t>
      </w:r>
    </w:p>
    <w:p w:rsidR="006C5A96" w:rsidP="006C5A96" w14:paraId="58E64A99" w14:textId="77777777">
      <w:pPr>
        <w:jc w:val="center"/>
        <w:rPr>
          <w:b/>
        </w:rPr>
      </w:pPr>
      <w:r w:rsidRPr="003971FF">
        <w:rPr>
          <w:b/>
        </w:rPr>
        <w:t>__________</w:t>
      </w:r>
    </w:p>
    <w:p w:rsidR="004D4D19" w:rsidP="007F38C2" w14:paraId="15C8B8B6" w14:textId="77777777">
      <w:pPr>
        <w:jc w:val="center"/>
        <w:rPr>
          <w:b/>
        </w:rPr>
      </w:pPr>
    </w:p>
    <w:p w:rsidR="00A1565D" w:rsidP="003971FF" w14:paraId="5062CB86" w14:textId="77777777">
      <w:pPr>
        <w:jc w:val="center"/>
        <w:rPr>
          <w:b/>
        </w:rPr>
      </w:pPr>
    </w:p>
    <w:sectPr w:rsidSect="006C5A96">
      <w:headerReference w:type="even" r:id="rId9"/>
      <w:headerReference w:type="default" r:id="rId10"/>
      <w:footerReference w:type="even" r:id="rId11"/>
      <w:footerReference w:type="default" r:id="rId12"/>
      <w:headerReference w:type="first" r:id="rId13"/>
      <w:footnotePr>
        <w:numRestart w:val="eachSect"/>
      </w:footnotePr>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DD3DD7" w:rsidP="00DD3DD7" w14:paraId="0C14975C"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DD3DD7" w:rsidP="00DD3DD7" w14:paraId="3C9F2FEC"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3A6A" w:rsidP="00ED54E0" w14:paraId="5C48D413" w14:textId="77777777">
      <w:r>
        <w:separator/>
      </w:r>
    </w:p>
  </w:footnote>
  <w:footnote w:type="continuationSeparator" w:id="1">
    <w:p w:rsidR="004D3A6A" w:rsidP="00ED54E0" w14:paraId="29716EE8" w14:textId="77777777">
      <w:r>
        <w:continuationSeparator/>
      </w:r>
    </w:p>
  </w:footnote>
  <w:footnote w:id="2">
    <w:p w:rsidR="007F6EA2" w14:paraId="354BDE03" w14:textId="77777777">
      <w:pPr>
        <w:pStyle w:val="FootnoteText"/>
      </w:pPr>
      <w:r>
        <w:rPr>
          <w:rStyle w:val="FootnoteReference"/>
        </w:rPr>
        <w:footnoteRef/>
      </w:r>
      <w:r>
        <w:t xml:space="preserve"> </w:t>
      </w:r>
      <w:r w:rsidRPr="00B65A73" w:rsidR="00B65A73">
        <w:t>This information can be provided by including a website address, a pdf attachment, or other information on where the text of the final</w:t>
      </w:r>
      <w:r w:rsidR="002B2435">
        <w:t>/modified</w:t>
      </w:r>
      <w:r w:rsidRPr="00B65A73" w:rsid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7" w:rsidP="00DD3DD7" w14:paraId="6C8486F9" w14:textId="77777777">
    <w:pPr>
      <w:pStyle w:val="Header"/>
      <w:pBdr>
        <w:bottom w:val="single" w:sz="4" w:space="1" w:color="auto"/>
      </w:pBdr>
      <w:tabs>
        <w:tab w:val="clear" w:pos="4513"/>
        <w:tab w:val="clear" w:pos="9027"/>
      </w:tabs>
      <w:jc w:val="center"/>
    </w:pPr>
    <w:bookmarkStart w:id="2" w:name="bmkSymbols2"/>
    <w:r>
      <w:t>G</w:t>
    </w:r>
    <w:r w:rsidRPr="00DD3DD7">
      <w:t>/TBT</w:t>
    </w:r>
    <w:r>
      <w:t>/N</w:t>
    </w:r>
    <w:r w:rsidRPr="00DD3DD7">
      <w:t>/</w:t>
    </w:r>
    <w:r>
      <w:t>**/**/Add.*</w:t>
    </w:r>
    <w:bookmarkEnd w:id="2"/>
  </w:p>
  <w:p w:rsidR="004D4D19" w:rsidRPr="00DD3DD7" w:rsidP="00DD3DD7" w14:paraId="333AFA8A" w14:textId="77777777">
    <w:pPr>
      <w:pStyle w:val="Header"/>
      <w:pBdr>
        <w:bottom w:val="single" w:sz="4" w:space="1" w:color="auto"/>
      </w:pBdr>
      <w:tabs>
        <w:tab w:val="clear" w:pos="4513"/>
        <w:tab w:val="clear" w:pos="9027"/>
      </w:tabs>
      <w:jc w:val="center"/>
    </w:pPr>
  </w:p>
  <w:p w:rsidR="00DD3DD7" w:rsidRPr="00DD3DD7" w:rsidP="00DD3DD7" w14:paraId="78AA522D" w14:textId="7777777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rsidR="00544326" w:rsidRPr="00DD3DD7" w:rsidP="00DD3DD7" w14:paraId="391F849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7" w:rsidRPr="00DD3DD7" w:rsidP="00DD3DD7" w14:paraId="450BB01E" w14:textId="77777777">
    <w:pPr>
      <w:pStyle w:val="Header"/>
      <w:pBdr>
        <w:bottom w:val="single" w:sz="4" w:space="1" w:color="auto"/>
      </w:pBdr>
      <w:tabs>
        <w:tab w:val="clear" w:pos="4513"/>
        <w:tab w:val="clear" w:pos="9027"/>
      </w:tabs>
      <w:jc w:val="center"/>
    </w:pPr>
    <w:bookmarkStart w:id="3" w:name="spsSymbolHeader"/>
    <w:r w:rsidRPr="00DD3DD7">
      <w:t>G/TBT/N/EGY/3/Add.92</w:t>
    </w:r>
    <w:bookmarkEnd w:id="3"/>
  </w:p>
  <w:p w:rsidR="00DD3DD7" w:rsidRPr="00DD3DD7" w:rsidP="00DD3DD7" w14:paraId="6C704763" w14:textId="77777777">
    <w:pPr>
      <w:pStyle w:val="Header"/>
      <w:pBdr>
        <w:bottom w:val="single" w:sz="4" w:space="1" w:color="auto"/>
      </w:pBdr>
      <w:tabs>
        <w:tab w:val="clear" w:pos="4513"/>
        <w:tab w:val="clear" w:pos="9027"/>
      </w:tabs>
      <w:jc w:val="center"/>
    </w:pPr>
  </w:p>
  <w:p w:rsidR="00DD3DD7" w:rsidRPr="00DD3DD7" w:rsidP="00DD3DD7" w14:paraId="2A6F8EA9" w14:textId="7777777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t>2</w:t>
    </w:r>
    <w:r w:rsidRPr="00DD3DD7">
      <w:fldChar w:fldCharType="end"/>
    </w:r>
    <w:r w:rsidRPr="00DD3DD7">
      <w:t xml:space="preserve"> -</w:t>
    </w:r>
  </w:p>
  <w:p w:rsidR="00544326" w:rsidRPr="00DD3DD7" w:rsidP="00DD3DD7" w14:paraId="14C0C03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558453E" w14:textId="77777777" w:rsidTr="00544326">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182B84" w:rsidP="00425DC5" w14:paraId="5434D2ED" w14:textId="77777777">
          <w:pPr>
            <w:rPr>
              <w:noProof/>
              <w:lang w:eastAsia="en-GB"/>
            </w:rPr>
          </w:pPr>
        </w:p>
      </w:tc>
      <w:tc>
        <w:tcPr>
          <w:tcW w:w="5448" w:type="dxa"/>
          <w:gridSpan w:val="2"/>
          <w:shd w:val="clear" w:color="auto" w:fill="FFFFFF"/>
          <w:tcMar>
            <w:left w:w="108" w:type="dxa"/>
            <w:right w:w="108" w:type="dxa"/>
          </w:tcMar>
          <w:vAlign w:val="center"/>
        </w:tcPr>
        <w:p w:rsidR="00ED54E0" w:rsidRPr="00182B84" w:rsidP="00425DC5" w14:paraId="098CB068" w14:textId="77777777">
          <w:pPr>
            <w:jc w:val="right"/>
            <w:rPr>
              <w:b/>
              <w:color w:val="FF0000"/>
              <w:szCs w:val="16"/>
            </w:rPr>
          </w:pPr>
          <w:r>
            <w:rPr>
              <w:b/>
              <w:color w:val="FF0000"/>
              <w:szCs w:val="16"/>
            </w:rPr>
            <w:t xml:space="preserve"> </w:t>
          </w:r>
        </w:p>
      </w:tc>
    </w:tr>
    <w:tr w14:paraId="66BFCA12" w14:textId="77777777" w:rsidTr="00544326">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182B84" w:rsidP="00425DC5" w14:paraId="566555F5" w14:textId="77777777">
          <w:pPr>
            <w:jc w:val="left"/>
          </w:pPr>
          <w:r w:rsidRPr="00182B84">
            <w:rPr>
              <w:noProof/>
              <w:lang w:val="en-US"/>
            </w:rPr>
            <w:drawing>
              <wp:inline distT="0" distB="0" distL="0" distR="0">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182B84" w:rsidP="00425DC5" w14:paraId="089F6A5B" w14:textId="77777777">
          <w:pPr>
            <w:jc w:val="right"/>
            <w:rPr>
              <w:b/>
              <w:szCs w:val="16"/>
            </w:rPr>
          </w:pPr>
        </w:p>
      </w:tc>
    </w:tr>
    <w:tr w14:paraId="6170D754" w14:textId="77777777" w:rsidTr="00544326">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182B84" w:rsidP="00425DC5" w14:paraId="66B80A66" w14:textId="77777777">
          <w:pPr>
            <w:jc w:val="left"/>
            <w:rPr>
              <w:noProof/>
              <w:lang w:eastAsia="en-GB"/>
            </w:rPr>
          </w:pPr>
        </w:p>
      </w:tc>
      <w:tc>
        <w:tcPr>
          <w:tcW w:w="5448" w:type="dxa"/>
          <w:gridSpan w:val="2"/>
          <w:shd w:val="clear" w:color="auto" w:fill="FFFFFF"/>
          <w:tcMar>
            <w:left w:w="108" w:type="dxa"/>
            <w:right w:w="108" w:type="dxa"/>
          </w:tcMar>
        </w:tcPr>
        <w:p w:rsidR="00DD3DD7" w:rsidRPr="002F663C" w:rsidP="00DD3DD7" w14:paraId="3D73E08B" w14:textId="77777777">
          <w:pPr>
            <w:jc w:val="right"/>
            <w:rPr>
              <w:rFonts w:eastAsia="Calibri" w:cs="Times New Roman"/>
              <w:b/>
              <w:szCs w:val="16"/>
            </w:rPr>
          </w:pPr>
          <w:bookmarkStart w:id="4" w:name="bmkSymbols"/>
          <w:r w:rsidRPr="002F663C">
            <w:rPr>
              <w:rFonts w:eastAsia="Calibri" w:cs="Times New Roman"/>
              <w:b/>
              <w:szCs w:val="16"/>
            </w:rPr>
            <w:t>G/TBT/N/EGY/3/Add.92</w:t>
          </w:r>
          <w:bookmarkEnd w:id="4"/>
        </w:p>
        <w:p w:rsidR="00C14444" w:rsidRPr="00C14444" w:rsidP="00C14444" w14:paraId="217A0725" w14:textId="77777777">
          <w:pPr>
            <w:jc w:val="center"/>
            <w:rPr>
              <w:szCs w:val="16"/>
            </w:rPr>
          </w:pPr>
        </w:p>
      </w:tc>
    </w:tr>
    <w:tr w14:paraId="1A2DD97D" w14:textId="77777777" w:rsidTr="00544326">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82B84" w:rsidP="00425DC5" w14:paraId="410196E5" w14:textId="77777777"/>
      </w:tc>
      <w:tc>
        <w:tcPr>
          <w:tcW w:w="5448" w:type="dxa"/>
          <w:gridSpan w:val="2"/>
          <w:shd w:val="clear" w:color="auto" w:fill="FFFFFF"/>
          <w:tcMar>
            <w:left w:w="108" w:type="dxa"/>
            <w:right w:w="108" w:type="dxa"/>
          </w:tcMar>
          <w:vAlign w:val="center"/>
        </w:tcPr>
        <w:p w:rsidR="00ED54E0" w:rsidRPr="00182B84" w:rsidP="00425DC5" w14:paraId="75069FD0" w14:textId="77777777">
          <w:pPr>
            <w:jc w:val="right"/>
            <w:rPr>
              <w:szCs w:val="16"/>
            </w:rPr>
          </w:pPr>
          <w:bookmarkStart w:id="5" w:name="bmkDate"/>
          <w:r w:rsidRPr="00182B84">
            <w:rPr>
              <w:szCs w:val="16"/>
            </w:rPr>
            <w:t>12 May 2025</w:t>
          </w:r>
          <w:bookmarkEnd w:id="5"/>
        </w:p>
      </w:tc>
    </w:tr>
    <w:tr w14:paraId="7CC575E1" w14:textId="77777777" w:rsidTr="00544326">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182B84" w:rsidP="00425DC5" w14:paraId="6BFD4BAD" w14:textId="77777777">
          <w:pPr>
            <w:jc w:val="left"/>
            <w:rPr>
              <w:b/>
            </w:rPr>
          </w:pPr>
          <w:bookmarkStart w:id="6" w:name="bmkSerial"/>
          <w:r>
            <w:rPr>
              <w:b w:val="0"/>
              <w:color w:val="FF0000"/>
            </w:rPr>
            <w:t>(25-3188)</w:t>
          </w:r>
          <w:bookmarkEnd w:id="6"/>
        </w:p>
      </w:tc>
      <w:tc>
        <w:tcPr>
          <w:tcW w:w="3325" w:type="dxa"/>
          <w:tcBorders>
            <w:bottom w:val="single" w:sz="4" w:space="0" w:color="auto"/>
          </w:tcBorders>
          <w:tcMar>
            <w:top w:w="0" w:type="dxa"/>
            <w:left w:w="108" w:type="dxa"/>
            <w:bottom w:w="57" w:type="dxa"/>
            <w:right w:w="108" w:type="dxa"/>
          </w:tcMar>
          <w:vAlign w:val="bottom"/>
        </w:tcPr>
        <w:p w:rsidR="00ED54E0" w:rsidRPr="00182B84" w:rsidP="00425DC5" w14:paraId="6F4D1FAF" w14:textId="77777777">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rFonts w:ascii="Verdana" w:hAnsi="Verdana" w:eastAsiaTheme="minorHAnsi" w:cstheme="minorBidi"/>
              <w:bCs/>
              <w:noProof/>
              <w:sz w:val="18"/>
              <w:szCs w:val="16"/>
              <w:lang w:val="en-GB" w:eastAsia="en-US" w:bidi="ar-SA"/>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rFonts w:ascii="Verdana" w:hAnsi="Verdana" w:eastAsiaTheme="minorHAnsi" w:cstheme="minorBidi"/>
              <w:bCs/>
              <w:noProof/>
              <w:sz w:val="18"/>
              <w:szCs w:val="16"/>
              <w:lang w:val="en-GB" w:eastAsia="en-US" w:bidi="ar-SA"/>
            </w:rPr>
            <w:t>2</w:t>
          </w:r>
          <w:r w:rsidRPr="00182B84">
            <w:rPr>
              <w:bCs/>
              <w:szCs w:val="16"/>
            </w:rPr>
            <w:fldChar w:fldCharType="end"/>
          </w:r>
        </w:p>
      </w:tc>
    </w:tr>
    <w:tr w14:paraId="7A659A97" w14:textId="77777777" w:rsidTr="00544326">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182B84" w:rsidP="00425DC5" w14:paraId="3E483BF0" w14:textId="77777777">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rsidR="00ED54E0" w:rsidRPr="00182B84" w:rsidP="00425DC5" w14:paraId="7430421F" w14:textId="77777777">
          <w:pPr>
            <w:jc w:val="right"/>
            <w:rPr>
              <w:bCs/>
              <w:szCs w:val="18"/>
            </w:rPr>
          </w:pPr>
          <w:r w:rsidRPr="002F663C">
            <w:rPr>
              <w:rFonts w:eastAsia="Calibri" w:cs="Times New Roman"/>
              <w:bCs/>
              <w:szCs w:val="18"/>
            </w:rPr>
            <w:t xml:space="preserve">Original: </w:t>
          </w:r>
          <w:bookmarkStart w:id="7" w:name="bmkOriginalLanguage"/>
          <w:r w:rsidRPr="002F663C">
            <w:rPr>
              <w:rFonts w:eastAsia="Calibri" w:cs="Times New Roman"/>
              <w:bCs/>
              <w:szCs w:val="18"/>
            </w:rPr>
            <w:t>English</w:t>
          </w:r>
          <w:bookmarkEnd w:id="7"/>
        </w:p>
      </w:tc>
    </w:tr>
  </w:tbl>
  <w:p w:rsidR="00ED54E0" w:rsidP="00DD3DD7" w14:paraId="26E892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75A666C"/>
    <w:numStyleLink w:val="LegalHeadings"/>
  </w:abstractNum>
  <w:abstractNum w:abstractNumId="12">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442996883">
    <w:abstractNumId w:val="9"/>
  </w:num>
  <w:num w:numId="2" w16cid:durableId="639186990">
    <w:abstractNumId w:val="7"/>
  </w:num>
  <w:num w:numId="3" w16cid:durableId="1002968283">
    <w:abstractNumId w:val="6"/>
  </w:num>
  <w:num w:numId="4" w16cid:durableId="1683629142">
    <w:abstractNumId w:val="5"/>
  </w:num>
  <w:num w:numId="5" w16cid:durableId="121389467">
    <w:abstractNumId w:val="4"/>
  </w:num>
  <w:num w:numId="6" w16cid:durableId="940264839">
    <w:abstractNumId w:val="12"/>
  </w:num>
  <w:num w:numId="7" w16cid:durableId="1343781031">
    <w:abstractNumId w:val="11"/>
  </w:num>
  <w:num w:numId="8" w16cid:durableId="1421756992">
    <w:abstractNumId w:val="10"/>
  </w:num>
  <w:num w:numId="9" w16cid:durableId="15208964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2080476">
    <w:abstractNumId w:val="13"/>
  </w:num>
  <w:num w:numId="11" w16cid:durableId="1119496559">
    <w:abstractNumId w:val="8"/>
  </w:num>
  <w:num w:numId="12" w16cid:durableId="576521766">
    <w:abstractNumId w:val="3"/>
  </w:num>
  <w:num w:numId="13" w16cid:durableId="1852797175">
    <w:abstractNumId w:val="2"/>
  </w:num>
  <w:num w:numId="14" w16cid:durableId="1778790734">
    <w:abstractNumId w:val="1"/>
  </w:num>
  <w:num w:numId="15" w16cid:durableId="177698613">
    <w:abstractNumId w:val="0"/>
  </w:num>
  <w:num w:numId="16" w16cid:durableId="123431141">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 w:numId="17" w16cid:durableId="40062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attachedTemplate r:id="rId1"/>
  <w:defaultTabStop w:val="567"/>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244FE"/>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3A6A"/>
    <w:rsid w:val="004D4D1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A1BFD"/>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26011"/>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0D7F"/>
    <w:rsid w:val="00B41614"/>
    <w:rsid w:val="00B52738"/>
    <w:rsid w:val="00B56EDC"/>
    <w:rsid w:val="00B65A73"/>
    <w:rsid w:val="00BB1341"/>
    <w:rsid w:val="00BB1F84"/>
    <w:rsid w:val="00BB5622"/>
    <w:rsid w:val="00BD269D"/>
    <w:rsid w:val="00BE5468"/>
    <w:rsid w:val="00BF067B"/>
    <w:rsid w:val="00BF0745"/>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64199"/>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BC3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os@eos.net.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leaves\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2019-10-23T07:32:00Z</cp:lastPrinted>
  <dcterms:created xsi:type="dcterms:W3CDTF">2025-05-12T12:29:00Z</dcterms:created>
  <dcterms:modified xsi:type="dcterms:W3CDTF">2025-05-12T12:29:00Z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NC</vt:lpwstr>
  </property>
</Properties>
</file>