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2A71E0" w:rsidRPr="00016333" w:rsidP="002A71E0" w14:paraId="1AA2107C" w14:textId="77777777">
      <w:pPr>
        <w:pStyle w:val="Title"/>
        <w:tabs>
          <w:tab w:val="left" w:pos="6521"/>
        </w:tabs>
      </w:pPr>
      <w:r>
        <w:t>IMPLEMENTATION AND ADMINISTRATION OF THE AGREEMENT</w:t>
      </w:r>
      <w:r>
        <w:br/>
        <w:t>ON TECHNICAL BARRIERS TO TRADE</w:t>
      </w:r>
    </w:p>
    <w:p w:rsidR="00CD481B" w:rsidRPr="00970703" w:rsidP="00F56489" w14:paraId="565F1DD7" w14:textId="7053B35C">
      <w:pPr>
        <w:pStyle w:val="Title2"/>
      </w:pPr>
      <w:r>
        <w:t xml:space="preserve">COMMUNICATION FROM SENEGAL </w:t>
      </w:r>
    </w:p>
    <w:p w:rsidR="002A71E0" w:rsidRPr="00970703" w:rsidP="00CD481B" w14:paraId="1A08B52C" w14:textId="7D3D92E3">
      <w:pPr>
        <w:spacing w:after="240"/>
      </w:pPr>
      <w:r>
        <w:t xml:space="preserve">The following communication under Article 15.2 of the Agreement on Technical Barriers to Trade, dated 18 September 2025, has been received from the delegation of </w:t>
      </w:r>
      <w:r>
        <w:rPr>
          <w:u w:val="single"/>
        </w:rPr>
        <w:t>Senegal</w:t>
      </w:r>
      <w:r>
        <w:t xml:space="preserve">. </w:t>
      </w:r>
    </w:p>
    <w:p w:rsidR="00CD481B" w:rsidRPr="00392709" w:rsidP="00CD481B" w14:paraId="5B1B1A52" w14:textId="77777777">
      <w:pPr>
        <w:jc w:val="center"/>
        <w:rPr>
          <w:b/>
        </w:rPr>
      </w:pPr>
      <w:r>
        <w:rPr>
          <w:b/>
        </w:rPr>
        <w:t>_______________</w:t>
      </w:r>
    </w:p>
    <w:p w:rsidR="00CD481B" w:rsidP="00CD481B" w14:paraId="39CDA49D" w14:textId="77777777"/>
    <w:p w:rsidR="00906997" w:rsidRPr="00906997" w:rsidP="00906997" w14:paraId="2130F94C" w14:textId="77777777">
      <w:pPr>
        <w:rPr>
          <w:szCs w:val="20"/>
        </w:rPr>
      </w:pPr>
    </w:p>
    <w:p w:rsidR="00795A4B" w:rsidP="00D92221" w14:paraId="6ED89F6A" w14:textId="5FA12C54">
      <w:pPr>
        <w:pStyle w:val="Heading1"/>
      </w:pPr>
      <w:r>
        <w:t>IMPLEMENTING</w:t>
      </w:r>
      <w:r w:rsidR="0047085A">
        <w:t xml:space="preserve"> actions </w:t>
      </w:r>
    </w:p>
    <w:p w:rsidR="007972BA" w:rsidRPr="00970703" w:rsidP="00970703" w14:paraId="0768984D" w14:textId="77777777">
      <w:pPr>
        <w:pStyle w:val="BodyText"/>
      </w:pPr>
      <w:r>
        <w:t>In accordance with notification obligations under Article 15.2 of the Agreement on Technical Barriers to Trade (TBT), Senegal recalls that it has accepted the Agreement Establishing the World Trade Organization and the agreements and associated legal instruments contained in Annexes 1, 2 and 3 (including the TBT Agreement). The Ministry of Trade is responsible for ensuring compliance with the obligations under these Agreements. 2.</w:t>
      </w:r>
    </w:p>
    <w:p w:rsidR="007972BA" w:rsidRPr="00970703" w:rsidP="00970703" w14:paraId="52A77FF0" w14:textId="77777777">
      <w:pPr>
        <w:pStyle w:val="BodyText"/>
      </w:pPr>
      <w:r>
        <w:t>As a reminder, the Directorate of Foreign Trade is the body responsible for implementing provisions concerning notification procedures under the TBT Agreement.</w:t>
      </w:r>
    </w:p>
    <w:p w:rsidR="007972BA" w:rsidRPr="00970703" w:rsidP="00970703" w14:paraId="7EE3FC57" w14:textId="77777777">
      <w:pPr>
        <w:pStyle w:val="BodyText"/>
      </w:pPr>
      <w:r>
        <w:t>In accordance with the requirements of the TBT Agreement, Senegal hereby notifies that national standards are prepared and adopted by the Senegalese Association for Standardization (ASN) within the Ministry of Industry and Trade. This body has accordingly become the National Enquiry Point (NEP) for TBT notifications.</w:t>
      </w:r>
    </w:p>
    <w:p w:rsidR="007E447B" w:rsidP="00D92221" w14:paraId="0B5493DD" w14:textId="77777777">
      <w:pPr>
        <w:pStyle w:val="Heading1"/>
      </w:pPr>
      <w:r>
        <w:t>Publication of a notice</w:t>
      </w:r>
    </w:p>
    <w:p w:rsidR="007E447B" w:rsidRPr="00970703" w:rsidP="00970703" w14:paraId="46B93B4F" w14:textId="2588FC7C">
      <w:pPr>
        <w:pStyle w:val="BodyText"/>
      </w:pPr>
      <w:r>
        <w:t>Senegal formalized, by Order No. 023737 of 6 November 2018, the creation of the TBT Sub</w:t>
      </w:r>
      <w:r w:rsidR="009D5154">
        <w:noBreakHyphen/>
      </w:r>
      <w:r>
        <w:t xml:space="preserve">Committee of the National Committee on International Trade Negotiations </w:t>
      </w:r>
      <w:hyperlink r:id="rId7" w:history="1">
        <w:r>
          <w:rPr>
            <w:color w:val="0000FF"/>
            <w:u w:val="single"/>
          </w:rPr>
          <w:t>https://asn.sn/fr/content/cr%C3%A9ation-du-sous-comit%C3%A9-otc</w:t>
        </w:r>
      </w:hyperlink>
    </w:p>
    <w:p w:rsidR="00970703" w:rsidP="00970703" w14:paraId="4B251E1D" w14:textId="134AEB27">
      <w:pPr>
        <w:pStyle w:val="BodyText"/>
      </w:pPr>
      <w:r>
        <w:t>Standards published by the ASN are available from its database and catalogue of standards:</w:t>
      </w:r>
    </w:p>
    <w:p w:rsidR="00970703" w:rsidRPr="00970703" w:rsidP="00970703" w14:paraId="6A012542" w14:textId="77777777">
      <w:pPr>
        <w:pStyle w:val="BodyText"/>
        <w:numPr>
          <w:ilvl w:val="0"/>
          <w:numId w:val="0"/>
        </w:numPr>
        <w:ind w:left="567"/>
      </w:pPr>
      <w:hyperlink r:id="rId8" w:history="1">
        <w:r>
          <w:rPr>
            <w:rStyle w:val="Hyperlink"/>
          </w:rPr>
          <w:t>https://asn.sn/fr/normes</w:t>
        </w:r>
      </w:hyperlink>
      <w:r>
        <w:t>/</w:t>
      </w:r>
    </w:p>
    <w:p w:rsidR="007E447B" w:rsidRPr="00970703" w:rsidP="00970703" w14:paraId="48FF564D" w14:textId="77777777">
      <w:pPr>
        <w:pStyle w:val="BodyText"/>
        <w:numPr>
          <w:ilvl w:val="0"/>
          <w:numId w:val="0"/>
        </w:numPr>
        <w:ind w:firstLine="567"/>
      </w:pPr>
      <w:hyperlink r:id="rId9" w:history="1">
        <w:r>
          <w:rPr>
            <w:rStyle w:val="Hyperlink"/>
          </w:rPr>
          <w:t>https://asn.sn/fr/content/catalogue-des-normes-s%C3%A9n%C3%A9galaises-2023</w:t>
        </w:r>
      </w:hyperlink>
      <w:r>
        <w:rPr>
          <w:b/>
        </w:rPr>
        <w:t xml:space="preserve"> </w:t>
      </w:r>
    </w:p>
    <w:p w:rsidR="00970703" w:rsidP="00970703" w14:paraId="069EB572" w14:textId="77777777">
      <w:pPr>
        <w:pStyle w:val="BodyText"/>
      </w:pPr>
      <w:r>
        <w:t>Senegal's regulatory texts are published on the following websites:</w:t>
      </w:r>
    </w:p>
    <w:p w:rsidR="007E447B" w:rsidRPr="00970703" w:rsidP="00970703" w14:paraId="11A3985B" w14:textId="77777777">
      <w:pPr>
        <w:pStyle w:val="BodyText"/>
        <w:numPr>
          <w:ilvl w:val="0"/>
          <w:numId w:val="0"/>
        </w:numPr>
        <w:ind w:firstLine="567"/>
      </w:pPr>
      <w:hyperlink r:id="rId10" w:history="1">
        <w:r>
          <w:rPr>
            <w:rStyle w:val="Hyperlink"/>
          </w:rPr>
          <w:t>https://senegalservices.sn/</w:t>
        </w:r>
      </w:hyperlink>
      <w:r>
        <w:t xml:space="preserve"> - </w:t>
      </w:r>
      <w:hyperlink r:id="rId11" w:history="1">
        <w:r>
          <w:rPr>
            <w:color w:val="0000FF"/>
            <w:u w:val="single"/>
          </w:rPr>
          <w:t>https://www.asn.sn/fr/lois-reglements</w:t>
        </w:r>
      </w:hyperlink>
      <w:r>
        <w:rPr>
          <w:b/>
        </w:rPr>
        <w:t xml:space="preserve"> - </w:t>
      </w:r>
    </w:p>
    <w:p w:rsidR="00686480" w:rsidRPr="00686480" w:rsidP="00D92221" w14:paraId="4C18888A" w14:textId="77777777">
      <w:pPr>
        <w:pStyle w:val="Heading1"/>
        <w:rPr>
          <w:w w:val="105"/>
        </w:rPr>
      </w:pPr>
      <w:r>
        <w:t>Comments</w:t>
      </w:r>
    </w:p>
    <w:p w:rsidR="003D0750" w:rsidRPr="00970703" w:rsidP="00970703" w14:paraId="643AF9C9" w14:textId="77777777">
      <w:pPr>
        <w:pStyle w:val="BodyText"/>
      </w:pPr>
      <w:r>
        <w:t>Comments on draft technical regulations, standards, and conformity assessment procedures shall be made in accordance with the provisions of the Agreement.</w:t>
      </w:r>
    </w:p>
    <w:p w:rsidR="003D0750" w:rsidP="00D92221" w14:paraId="458D8430" w14:textId="77777777">
      <w:pPr>
        <w:pStyle w:val="Heading1"/>
      </w:pPr>
      <w:r>
        <w:t>Publication of final texts</w:t>
      </w:r>
    </w:p>
    <w:p w:rsidR="003D0750" w:rsidRPr="00686480" w:rsidP="003D0750" w14:paraId="6114FC0E" w14:textId="77777777">
      <w:pPr>
        <w:spacing w:after="120"/>
      </w:pPr>
      <w:hyperlink r:id="rId8" w:history="1">
        <w:r>
          <w:rPr>
            <w:color w:val="0000FF"/>
            <w:u w:val="single"/>
          </w:rPr>
          <w:t>https://asn.sn/fr/normes</w:t>
        </w:r>
      </w:hyperlink>
      <w:r>
        <w:t xml:space="preserve"> /</w:t>
      </w:r>
    </w:p>
    <w:p w:rsidR="003D0750" w:rsidRPr="00970703" w:rsidP="003D0750" w14:paraId="7D167E06" w14:textId="77777777">
      <w:pPr>
        <w:spacing w:before="120" w:after="120"/>
      </w:pPr>
      <w:hyperlink r:id="rId9" w:history="1">
        <w:r>
          <w:rPr>
            <w:color w:val="0000FF"/>
            <w:u w:val="single"/>
          </w:rPr>
          <w:t>https://asn.sn/fr/content/catalogue-des-normes-s%C3%A9n%C3%A9galaises-2023</w:t>
        </w:r>
      </w:hyperlink>
      <w:r>
        <w:t xml:space="preserve"> </w:t>
      </w:r>
    </w:p>
    <w:p w:rsidR="003D0750" w:rsidRPr="00970703" w:rsidP="003D0750" w14:paraId="62ED9D52" w14:textId="77777777">
      <w:pPr>
        <w:spacing w:before="120" w:after="120"/>
      </w:pPr>
      <w:hyperlink r:id="rId12" w:history="1">
        <w:r>
          <w:rPr>
            <w:color w:val="0000FF"/>
            <w:u w:val="single"/>
          </w:rPr>
          <w:t>https://senegalservices.sn</w:t>
        </w:r>
      </w:hyperlink>
      <w:r>
        <w:t xml:space="preserve"> </w:t>
      </w:r>
    </w:p>
    <w:p w:rsidR="003D0750" w:rsidRPr="00970703" w:rsidP="003D0750" w14:paraId="50B9376B" w14:textId="77777777">
      <w:pPr>
        <w:spacing w:before="120" w:after="240"/>
      </w:pPr>
      <w:hyperlink r:id="rId11" w:history="1">
        <w:r>
          <w:rPr>
            <w:color w:val="0000FF"/>
            <w:u w:val="single"/>
          </w:rPr>
          <w:t>https://www.asn.sn/fr/lois-reglements</w:t>
        </w:r>
      </w:hyperlink>
      <w:r>
        <w:t xml:space="preserve"> - </w:t>
      </w:r>
    </w:p>
    <w:p w:rsidR="00195DA8" w:rsidP="00D92221" w14:paraId="6C8FDB89" w14:textId="77777777">
      <w:pPr>
        <w:pStyle w:val="Heading1"/>
      </w:pPr>
      <w:bookmarkStart w:id="0" w:name="_Hlk152148747"/>
      <w:r>
        <w:t>CONTACT INFORMATION</w:t>
      </w:r>
      <w:r>
        <w:rPr>
          <w:rStyle w:val="FootnoteReference"/>
        </w:rPr>
        <w:footnoteReference w:id="2"/>
      </w:r>
    </w:p>
    <w:p w:rsidR="00686480" w:rsidRPr="008B7F72" w:rsidP="006C3955" w14:paraId="65E6048A" w14:textId="77777777">
      <w:pPr>
        <w:tabs>
          <w:tab w:val="left" w:pos="3060"/>
        </w:tabs>
        <w:spacing w:after="120"/>
        <w:rPr>
          <w:b/>
          <w:bCs/>
        </w:rPr>
      </w:pPr>
      <w:r>
        <w:rPr>
          <w:b/>
        </w:rPr>
        <w:t>(</w:t>
      </w:r>
      <w:r>
        <w:rPr>
          <w:b/>
        </w:rPr>
        <w:t>i</w:t>
      </w:r>
      <w:r>
        <w:rPr>
          <w:b/>
        </w:rPr>
        <w:t>) Enquiry Point(s)</w:t>
      </w:r>
      <w:r>
        <w:rPr>
          <w:b/>
          <w:color w:val="365F91" w:themeColor="accent1" w:themeShade="BF"/>
        </w:rPr>
        <w:tab/>
      </w:r>
    </w:p>
    <w:p w:rsidR="004A266B" w:rsidRPr="00970703" w:rsidP="00AD30FD" w14:paraId="44490005" w14:textId="77777777">
      <w:pPr>
        <w:spacing w:after="120"/>
        <w:jc w:val="left"/>
      </w:pPr>
      <w:r>
        <w:t>The ASN contact details are as follows:</w:t>
      </w:r>
    </w:p>
    <w:p w:rsidR="004A266B" w:rsidRPr="00970703" w:rsidP="00AD30FD" w14:paraId="3F928A25" w14:textId="77777777">
      <w:pPr>
        <w:spacing w:before="120" w:after="120"/>
        <w:jc w:val="left"/>
      </w:pPr>
      <w:r>
        <w:rPr>
          <w:i/>
          <w:iCs/>
        </w:rPr>
        <w:t xml:space="preserve">Association </w:t>
      </w:r>
      <w:r>
        <w:rPr>
          <w:i/>
          <w:iCs/>
        </w:rPr>
        <w:t>Sénégalaise</w:t>
      </w:r>
      <w:r>
        <w:rPr>
          <w:i/>
          <w:iCs/>
        </w:rPr>
        <w:t xml:space="preserve"> de Normalisation </w:t>
      </w:r>
      <w:r>
        <w:t>(Senegalese Association for Standardization</w:t>
      </w:r>
      <w:r>
        <w:rPr>
          <w:i/>
          <w:iCs/>
        </w:rPr>
        <w:t>)</w:t>
      </w:r>
    </w:p>
    <w:p w:rsidR="004A266B" w:rsidRPr="00970703" w:rsidP="00AD30FD" w14:paraId="73CA8E79" w14:textId="77777777">
      <w:pPr>
        <w:spacing w:before="120" w:after="120"/>
        <w:jc w:val="left"/>
      </w:pPr>
      <w:r>
        <w:t>Avenue Bourguiba BP: 4037 – Dakar</w:t>
      </w:r>
    </w:p>
    <w:p w:rsidR="004A266B" w:rsidRPr="00970703" w:rsidP="00AD30FD" w14:paraId="3CC89A6A" w14:textId="77777777">
      <w:pPr>
        <w:spacing w:before="120" w:after="120"/>
        <w:jc w:val="left"/>
      </w:pPr>
      <w:r>
        <w:t>Tel.: (+221) 33 829 58 25</w:t>
      </w:r>
    </w:p>
    <w:p w:rsidR="004A266B" w:rsidRPr="00970703" w:rsidP="00AD30FD" w14:paraId="76D8A20E" w14:textId="77777777">
      <w:pPr>
        <w:spacing w:before="120" w:after="120"/>
        <w:jc w:val="left"/>
      </w:pPr>
      <w:r>
        <w:t xml:space="preserve">Email: </w:t>
      </w:r>
      <w:hyperlink r:id="rId13" w:history="1">
        <w:r>
          <w:rPr>
            <w:color w:val="0000FF"/>
            <w:u w:val="single"/>
          </w:rPr>
          <w:t>asn@asn.sn</w:t>
        </w:r>
      </w:hyperlink>
    </w:p>
    <w:p w:rsidR="004A266B" w:rsidRPr="00970703" w:rsidP="00AD30FD" w14:paraId="6FCDF336" w14:textId="77777777">
      <w:pPr>
        <w:spacing w:before="120" w:after="240"/>
        <w:jc w:val="left"/>
      </w:pPr>
      <w:r>
        <w:t>Web: http://www.asn.sn</w:t>
      </w:r>
    </w:p>
    <w:bookmarkEnd w:id="0"/>
    <w:p w:rsidR="00686480" w:rsidRPr="00970703" w:rsidP="00686480" w14:paraId="4AF84FD5" w14:textId="77777777">
      <w:pPr>
        <w:spacing w:after="120"/>
        <w:rPr>
          <w:b/>
          <w:bCs/>
        </w:rPr>
      </w:pPr>
      <w:r>
        <w:rPr>
          <w:b/>
        </w:rPr>
        <w:t>(ii) Notification Authority</w:t>
      </w:r>
    </w:p>
    <w:p w:rsidR="00C408D1" w:rsidRPr="00970703" w:rsidP="003A0337" w14:paraId="331B89E7" w14:textId="77777777">
      <w:pPr>
        <w:spacing w:after="120"/>
        <w:jc w:val="left"/>
      </w:pPr>
      <w:r>
        <w:rPr>
          <w:i/>
          <w:iCs/>
        </w:rPr>
        <w:t xml:space="preserve">Direction Commerce </w:t>
      </w:r>
      <w:r>
        <w:rPr>
          <w:i/>
          <w:iCs/>
        </w:rPr>
        <w:t>Extérieur</w:t>
      </w:r>
      <w:r>
        <w:rPr>
          <w:i/>
          <w:iCs/>
        </w:rPr>
        <w:t xml:space="preserve"> </w:t>
      </w:r>
      <w:r>
        <w:t>(Directorate of Foreign Trade)</w:t>
      </w:r>
    </w:p>
    <w:p w:rsidR="00C408D1" w:rsidRPr="00970703" w:rsidP="003A0337" w14:paraId="42862F7F" w14:textId="77777777">
      <w:pPr>
        <w:spacing w:before="120" w:after="120"/>
        <w:jc w:val="left"/>
      </w:pPr>
      <w:r>
        <w:t>Sphère</w:t>
      </w:r>
      <w:r>
        <w:t xml:space="preserve"> </w:t>
      </w:r>
      <w:r>
        <w:t>Ministérielle</w:t>
      </w:r>
      <w:r>
        <w:t xml:space="preserve">, </w:t>
      </w:r>
      <w:r>
        <w:t>Bâtiment</w:t>
      </w:r>
      <w:r>
        <w:t xml:space="preserve"> C, 3ème étage, </w:t>
      </w:r>
      <w:r>
        <w:t>Diamniadio</w:t>
      </w:r>
    </w:p>
    <w:p w:rsidR="00C408D1" w:rsidP="003A0337" w14:paraId="30D8E70A" w14:textId="77777777">
      <w:pPr>
        <w:spacing w:before="120" w:after="240"/>
        <w:jc w:val="left"/>
      </w:pPr>
      <w:r>
        <w:t>(+221) 33 824 45 12</w:t>
      </w:r>
    </w:p>
    <w:p w:rsidR="00686480" w:rsidRPr="00686480" w:rsidP="00D92221" w14:paraId="0C24448D" w14:textId="77777777">
      <w:pPr>
        <w:pStyle w:val="Heading1"/>
      </w:pPr>
      <w:r>
        <w:t>Additional information</w:t>
      </w:r>
    </w:p>
    <w:p w:rsidR="009A0597" w:rsidP="00AD30FD" w14:paraId="6666877F" w14:textId="77777777">
      <w:pPr>
        <w:jc w:val="left"/>
      </w:pPr>
      <w:r>
        <w:t>-</w:t>
      </w:r>
    </w:p>
    <w:p w:rsidR="00A42354" w:rsidP="00A42354" w14:paraId="06690EC6" w14:textId="77777777">
      <w:pPr>
        <w:jc w:val="left"/>
      </w:pPr>
    </w:p>
    <w:p w:rsidR="003E3195" w:rsidRPr="00EB7FF1" w:rsidP="00EB7FF1" w14:paraId="360796DE" w14:textId="75756964">
      <w:pPr>
        <w:jc w:val="center"/>
      </w:pPr>
      <w:r>
        <w:t>__________</w:t>
      </w:r>
    </w:p>
    <w:sectPr w:rsidSect="00970703">
      <w:headerReference w:type="even" r:id="rId14"/>
      <w:headerReference w:type="default" r:id="rId15"/>
      <w:footerReference w:type="even" r:id="rId16"/>
      <w:footerReference w:type="default" r:id="rId17"/>
      <w:headerReference w:type="first" r:id="rId18"/>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970703" w:rsidP="00970703" w14:paraId="32FB20E6"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970703" w:rsidP="00970703" w14:paraId="4B950A1A" w14:textId="77777777">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E5C94" w:rsidP="00ED54E0" w14:paraId="4CF1C837" w14:textId="77777777">
      <w:r>
        <w:separator/>
      </w:r>
    </w:p>
  </w:footnote>
  <w:footnote w:type="continuationSeparator" w:id="1">
    <w:p w:rsidR="00BE5C94" w:rsidP="00ED54E0" w14:paraId="380DD252" w14:textId="77777777">
      <w:r>
        <w:continuationSeparator/>
      </w:r>
    </w:p>
  </w:footnote>
  <w:footnote w:id="2">
    <w:p w:rsidR="001E7870" w:rsidRPr="001E7870" w14:paraId="5FF38FAD" w14:textId="77777777">
      <w:pPr>
        <w:pStyle w:val="FootnoteText"/>
      </w:pPr>
      <w:r>
        <w:rPr>
          <w:rStyle w:val="FootnoteReference"/>
        </w:rPr>
        <w:footnoteRef/>
      </w:r>
      <w:r>
        <w:t xml:space="preserve"> </w:t>
      </w:r>
      <w:r>
        <w:rPr>
          <w:rStyle w:val="ui-provider"/>
        </w:rPr>
        <w:t>Enquiry point and notification authority contact details may be updated after the circulation of this notification. The latest information is available on</w:t>
      </w:r>
      <w:r>
        <w:t xml:space="preserve"> </w:t>
      </w:r>
      <w:hyperlink r:id="rId1" w:history="1">
        <w:r>
          <w:rPr>
            <w:rStyle w:val="Hyperlink"/>
            <w:color w:val="0000FF"/>
          </w:rPr>
          <w:t>ePing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703" w:rsidRPr="00970703" w:rsidP="00970703" w14:paraId="7370DDCA" w14:textId="77777777">
    <w:pPr>
      <w:pStyle w:val="Header"/>
      <w:pBdr>
        <w:bottom w:val="single" w:sz="4" w:space="1" w:color="auto"/>
      </w:pBdr>
      <w:tabs>
        <w:tab w:val="clear" w:pos="4513"/>
        <w:tab w:val="clear" w:pos="9027"/>
      </w:tabs>
      <w:jc w:val="center"/>
    </w:pPr>
    <w:r>
      <w:t>G/TBT/15.2/N/SEN</w:t>
    </w:r>
  </w:p>
  <w:p w:rsidR="00970703" w:rsidRPr="00970703" w:rsidP="00970703" w14:paraId="4BF981D9" w14:textId="77777777">
    <w:pPr>
      <w:pStyle w:val="Header"/>
      <w:pBdr>
        <w:bottom w:val="single" w:sz="4" w:space="1" w:color="auto"/>
      </w:pBdr>
      <w:tabs>
        <w:tab w:val="clear" w:pos="4513"/>
        <w:tab w:val="clear" w:pos="9027"/>
      </w:tabs>
      <w:jc w:val="center"/>
    </w:pPr>
  </w:p>
  <w:p w:rsidR="00970703" w:rsidRPr="00970703" w:rsidP="00970703" w14:paraId="3DF7383A" w14:textId="77777777">
    <w:pPr>
      <w:pStyle w:val="Header"/>
      <w:pBdr>
        <w:bottom w:val="single" w:sz="4" w:space="1" w:color="auto"/>
      </w:pBdr>
      <w:tabs>
        <w:tab w:val="clear" w:pos="4513"/>
        <w:tab w:val="clear" w:pos="9027"/>
      </w:tabs>
      <w:jc w:val="center"/>
    </w:pPr>
    <w:r>
      <w:t xml:space="preserve">- </w:t>
    </w:r>
    <w:r w:rsidRPr="00970703">
      <w:fldChar w:fldCharType="begin"/>
    </w:r>
    <w:r w:rsidRPr="00970703">
      <w:instrText xml:space="preserve"> PAGE </w:instrText>
    </w:r>
    <w:r w:rsidRPr="00970703">
      <w:fldChar w:fldCharType="separate"/>
    </w:r>
    <w:r w:rsidRPr="00970703">
      <w:t>2</w:t>
    </w:r>
    <w:r w:rsidRPr="00970703">
      <w:fldChar w:fldCharType="end"/>
    </w:r>
    <w:r>
      <w:t xml:space="preserve"> -</w:t>
    </w:r>
  </w:p>
  <w:p w:rsidR="00544326" w:rsidRPr="00970703" w:rsidP="00970703" w14:paraId="5034CD1B"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70703" w:rsidRPr="00970703" w:rsidP="00970703" w14:paraId="59AD5CA2" w14:textId="77777777">
    <w:pPr>
      <w:pStyle w:val="Header"/>
      <w:pBdr>
        <w:bottom w:val="single" w:sz="4" w:space="1" w:color="auto"/>
      </w:pBdr>
      <w:tabs>
        <w:tab w:val="clear" w:pos="4513"/>
        <w:tab w:val="clear" w:pos="9027"/>
      </w:tabs>
      <w:jc w:val="center"/>
    </w:pPr>
    <w:r>
      <w:t>G/TBT/15.2/N/SEN</w:t>
    </w:r>
  </w:p>
  <w:p w:rsidR="00970703" w:rsidRPr="00970703" w:rsidP="00970703" w14:paraId="6AC78725" w14:textId="77777777">
    <w:pPr>
      <w:pStyle w:val="Header"/>
      <w:pBdr>
        <w:bottom w:val="single" w:sz="4" w:space="1" w:color="auto"/>
      </w:pBdr>
      <w:tabs>
        <w:tab w:val="clear" w:pos="4513"/>
        <w:tab w:val="clear" w:pos="9027"/>
      </w:tabs>
      <w:jc w:val="center"/>
    </w:pPr>
  </w:p>
  <w:p w:rsidR="00970703" w:rsidRPr="00970703" w:rsidP="00970703" w14:paraId="03987D8C" w14:textId="77777777">
    <w:pPr>
      <w:pStyle w:val="Header"/>
      <w:pBdr>
        <w:bottom w:val="single" w:sz="4" w:space="1" w:color="auto"/>
      </w:pBdr>
      <w:tabs>
        <w:tab w:val="clear" w:pos="4513"/>
        <w:tab w:val="clear" w:pos="9027"/>
      </w:tabs>
      <w:jc w:val="center"/>
    </w:pPr>
    <w:r>
      <w:t xml:space="preserve">- </w:t>
    </w:r>
    <w:r w:rsidRPr="00970703">
      <w:fldChar w:fldCharType="begin"/>
    </w:r>
    <w:r w:rsidRPr="00970703">
      <w:instrText xml:space="preserve"> PAGE </w:instrText>
    </w:r>
    <w:r w:rsidRPr="00970703">
      <w:fldChar w:fldCharType="separate"/>
    </w:r>
    <w:r w:rsidRPr="00970703">
      <w:t>2</w:t>
    </w:r>
    <w:r w:rsidRPr="00970703">
      <w:fldChar w:fldCharType="end"/>
    </w:r>
    <w:r>
      <w:t xml:space="preserve"> -</w:t>
    </w:r>
  </w:p>
  <w:p w:rsidR="00544326" w:rsidRPr="00970703" w:rsidP="00970703" w14:paraId="0C1514F1"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780"/>
      <w:gridCol w:w="2035"/>
      <w:gridCol w:w="3211"/>
    </w:tblGrid>
    <w:tr w14:paraId="4FE4C02D" w14:textId="77777777" w:rsidTr="00CB5F45">
      <w:tblPrEx>
        <w:tblW w:w="5000" w:type="pct"/>
        <w:jc w:val="center"/>
        <w:tblLook w:val="04A0"/>
      </w:tblPrEx>
      <w:trPr>
        <w:trHeight w:val="240"/>
        <w:jc w:val="center"/>
      </w:trPr>
      <w:tc>
        <w:tcPr>
          <w:tcW w:w="2053" w:type="pct"/>
          <w:tcMar>
            <w:left w:w="108" w:type="dxa"/>
            <w:right w:w="108" w:type="dxa"/>
          </w:tcMar>
          <w:vAlign w:val="center"/>
        </w:tcPr>
        <w:p w:rsidR="00CB5F45" w:rsidRPr="00CB5F45" w:rsidP="00703F81" w14:paraId="10441523" w14:textId="77777777">
          <w:pPr>
            <w:rPr>
              <w:rFonts w:eastAsia="Verdana" w:cs="Verdana"/>
              <w:noProof/>
              <w:szCs w:val="18"/>
            </w:rPr>
          </w:pPr>
          <w:bookmarkStart w:id="1" w:name="bmkRestricted" w:colFirst="1" w:colLast="1"/>
          <w:bookmarkStart w:id="2" w:name="bmkMasthead"/>
        </w:p>
      </w:tc>
      <w:tc>
        <w:tcPr>
          <w:tcW w:w="2947" w:type="pct"/>
          <w:gridSpan w:val="2"/>
          <w:tcMar>
            <w:left w:w="108" w:type="dxa"/>
            <w:right w:w="108" w:type="dxa"/>
          </w:tcMar>
          <w:vAlign w:val="center"/>
        </w:tcPr>
        <w:p w:rsidR="00CB5F45" w:rsidRPr="00CB5F45" w:rsidP="00703F81" w14:paraId="1EEB9CA2" w14:textId="77777777">
          <w:pPr>
            <w:jc w:val="right"/>
            <w:rPr>
              <w:rFonts w:eastAsia="Verdana" w:cs="Verdana"/>
              <w:b/>
              <w:color w:val="FF0000"/>
              <w:szCs w:val="18"/>
              <w:lang w:val="fr-FR"/>
            </w:rPr>
          </w:pPr>
        </w:p>
      </w:tc>
    </w:tr>
    <w:tr w14:paraId="00AA3133" w14:textId="77777777" w:rsidTr="00CB5F45">
      <w:tblPrEx>
        <w:tblW w:w="5000" w:type="pct"/>
        <w:jc w:val="center"/>
        <w:tblLook w:val="04A0"/>
      </w:tblPrEx>
      <w:trPr>
        <w:trHeight w:val="213"/>
        <w:jc w:val="center"/>
      </w:trPr>
      <w:tc>
        <w:tcPr>
          <w:tcW w:w="2053" w:type="pct"/>
          <w:vMerge w:val="restart"/>
          <w:tcMar>
            <w:left w:w="0" w:type="dxa"/>
            <w:right w:w="0" w:type="dxa"/>
          </w:tcMar>
        </w:tcPr>
        <w:p w:rsidR="00CB5F45" w:rsidRPr="00CB5F45" w:rsidP="00703F81" w14:paraId="15AD6993" w14:textId="7C00AF2F">
          <w:pPr>
            <w:jc w:val="left"/>
            <w:rPr>
              <w:rFonts w:eastAsia="Verdana" w:cs="Verdana"/>
              <w:szCs w:val="18"/>
            </w:rPr>
          </w:pPr>
          <w:bookmarkStart w:id="3" w:name="bmkLogo" w:colFirst="0" w:colLast="0"/>
          <w:bookmarkEnd w:id="1"/>
          <w:r w:rsidRPr="00182B84">
            <w:rPr>
              <w:noProof/>
              <w:lang w:val="en-US"/>
            </w:rPr>
            <w:drawing>
              <wp:inline distT="0" distB="0" distL="0" distR="0">
                <wp:extent cx="2398395" cy="716280"/>
                <wp:effectExtent l="0" t="0" r="1905" b="7620"/>
                <wp:docPr id="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8395" cy="716280"/>
                        </a:xfrm>
                        <a:prstGeom prst="rect">
                          <a:avLst/>
                        </a:prstGeom>
                        <a:noFill/>
                        <a:ln>
                          <a:noFill/>
                        </a:ln>
                      </pic:spPr>
                    </pic:pic>
                  </a:graphicData>
                </a:graphic>
              </wp:inline>
            </w:drawing>
          </w:r>
        </w:p>
      </w:tc>
      <w:tc>
        <w:tcPr>
          <w:tcW w:w="2947" w:type="pct"/>
          <w:gridSpan w:val="2"/>
          <w:tcMar>
            <w:left w:w="108" w:type="dxa"/>
            <w:right w:w="108" w:type="dxa"/>
          </w:tcMar>
        </w:tcPr>
        <w:p w:rsidR="00CB5F45" w:rsidRPr="00CB5F45" w:rsidP="00703F81" w14:paraId="38B7DD1B" w14:textId="77777777">
          <w:pPr>
            <w:jc w:val="right"/>
            <w:rPr>
              <w:rFonts w:eastAsia="Verdana" w:cs="Verdana"/>
              <w:b/>
              <w:szCs w:val="18"/>
              <w:lang w:val="fr-FR"/>
            </w:rPr>
          </w:pPr>
        </w:p>
      </w:tc>
    </w:tr>
    <w:tr w14:paraId="78E6873C" w14:textId="77777777" w:rsidTr="00CB5F45">
      <w:tblPrEx>
        <w:tblW w:w="5000" w:type="pct"/>
        <w:jc w:val="center"/>
        <w:tblLook w:val="04A0"/>
      </w:tblPrEx>
      <w:trPr>
        <w:trHeight w:val="868"/>
        <w:jc w:val="center"/>
      </w:trPr>
      <w:tc>
        <w:tcPr>
          <w:tcW w:w="2053" w:type="pct"/>
          <w:vMerge/>
          <w:tcMar>
            <w:left w:w="108" w:type="dxa"/>
            <w:right w:w="108" w:type="dxa"/>
          </w:tcMar>
        </w:tcPr>
        <w:p w:rsidR="00CB5F45" w:rsidRPr="00CB5F45" w:rsidP="00703F81" w14:paraId="1C2E2395" w14:textId="77777777">
          <w:pPr>
            <w:jc w:val="left"/>
            <w:rPr>
              <w:rFonts w:eastAsia="Verdana" w:cs="Verdana"/>
              <w:noProof/>
              <w:szCs w:val="18"/>
            </w:rPr>
          </w:pPr>
          <w:bookmarkStart w:id="4" w:name="bmkSymbols" w:colFirst="1" w:colLast="1"/>
          <w:bookmarkEnd w:id="3"/>
        </w:p>
      </w:tc>
      <w:tc>
        <w:tcPr>
          <w:tcW w:w="2947" w:type="pct"/>
          <w:gridSpan w:val="2"/>
          <w:tcMar>
            <w:left w:w="108" w:type="dxa"/>
            <w:right w:w="108" w:type="dxa"/>
          </w:tcMar>
        </w:tcPr>
        <w:p w:rsidR="00CB5F45" w:rsidRPr="00CB5F45" w:rsidP="00703F81" w14:paraId="3117CB7F" w14:textId="39D9B17F">
          <w:pPr>
            <w:jc w:val="right"/>
            <w:rPr>
              <w:rFonts w:eastAsia="Verdana" w:cs="Verdana"/>
              <w:b/>
              <w:szCs w:val="18"/>
            </w:rPr>
          </w:pPr>
          <w:r>
            <w:rPr>
              <w:b/>
            </w:rPr>
            <w:t>G/TBT/15.2/N/SEN</w:t>
          </w:r>
        </w:p>
      </w:tc>
    </w:tr>
    <w:tr w14:paraId="199E62A4" w14:textId="77777777" w:rsidTr="00CB5F45">
      <w:tblPrEx>
        <w:tblW w:w="5000" w:type="pct"/>
        <w:jc w:val="center"/>
        <w:tblLook w:val="04A0"/>
      </w:tblPrEx>
      <w:trPr>
        <w:trHeight w:val="240"/>
        <w:jc w:val="center"/>
      </w:trPr>
      <w:tc>
        <w:tcPr>
          <w:tcW w:w="2053" w:type="pct"/>
          <w:vMerge/>
          <w:tcMar>
            <w:left w:w="108" w:type="dxa"/>
            <w:right w:w="108" w:type="dxa"/>
          </w:tcMar>
          <w:vAlign w:val="center"/>
        </w:tcPr>
        <w:p w:rsidR="00CB5F45" w:rsidRPr="00CB5F45" w:rsidP="00703F81" w14:paraId="3EDF04EA" w14:textId="77777777">
          <w:pPr>
            <w:rPr>
              <w:rFonts w:eastAsia="Verdana" w:cs="Verdana"/>
              <w:szCs w:val="18"/>
            </w:rPr>
          </w:pPr>
          <w:bookmarkEnd w:id="4"/>
        </w:p>
      </w:tc>
      <w:tc>
        <w:tcPr>
          <w:tcW w:w="2947" w:type="pct"/>
          <w:gridSpan w:val="2"/>
          <w:tcMar>
            <w:left w:w="108" w:type="dxa"/>
            <w:right w:w="108" w:type="dxa"/>
          </w:tcMar>
          <w:vAlign w:val="center"/>
        </w:tcPr>
        <w:p w:rsidR="00CB5F45" w:rsidRPr="00CB5F45" w:rsidP="00703F81" w14:paraId="0CCC6DD6" w14:textId="1857F3B4">
          <w:pPr>
            <w:jc w:val="right"/>
            <w:rPr>
              <w:rFonts w:eastAsia="Verdana" w:cs="Verdana"/>
              <w:szCs w:val="18"/>
            </w:rPr>
          </w:pPr>
          <w:r>
            <w:t>19 September 2025</w:t>
          </w:r>
        </w:p>
      </w:tc>
    </w:tr>
    <w:tr w14:paraId="1A9F4EA9" w14:textId="77777777" w:rsidTr="00CB5F45">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CB5F45" w:rsidRPr="00CB5F45" w:rsidP="00703F81" w14:paraId="6C3AF462" w14:textId="370CC0DF">
          <w:pPr>
            <w:jc w:val="left"/>
            <w:rPr>
              <w:rFonts w:eastAsia="Verdana" w:cs="Verdana"/>
              <w:b/>
              <w:szCs w:val="18"/>
            </w:rPr>
          </w:pPr>
          <w:bookmarkStart w:id="5" w:name="bmkSerial" w:colFirst="0" w:colLast="0"/>
          <w:r>
            <w:rPr>
              <w:b w:val="0"/>
              <w:color w:val="FF0000"/>
            </w:rPr>
            <w:t>(25-5921)</w:t>
          </w:r>
        </w:p>
      </w:tc>
      <w:tc>
        <w:tcPr>
          <w:tcW w:w="1799" w:type="pct"/>
          <w:tcBorders>
            <w:bottom w:val="single" w:sz="4" w:space="0" w:color="auto"/>
          </w:tcBorders>
          <w:tcMar>
            <w:top w:w="0" w:type="dxa"/>
            <w:left w:w="108" w:type="dxa"/>
            <w:bottom w:w="57" w:type="dxa"/>
            <w:right w:w="108" w:type="dxa"/>
          </w:tcMar>
          <w:vAlign w:val="bottom"/>
        </w:tcPr>
        <w:p w:rsidR="00CB5F45" w:rsidRPr="00CB5F45" w:rsidP="00703F81" w14:paraId="2CBE4665" w14:textId="75A1CD67">
          <w:pPr>
            <w:jc w:val="right"/>
            <w:rPr>
              <w:rFonts w:eastAsia="Verdana" w:cs="Verdana"/>
              <w:szCs w:val="18"/>
            </w:rPr>
          </w:pPr>
          <w:r>
            <w:t xml:space="preserve">Page: </w:t>
          </w:r>
          <w:r>
            <w:rPr>
              <w:rFonts w:eastAsia="Verdana" w:cs="Verdana"/>
            </w:rPr>
            <w:fldChar w:fldCharType="begin"/>
          </w:r>
          <w:r>
            <w:rPr>
              <w:rFonts w:eastAsia="Verdana" w:cs="Verdana"/>
            </w:rPr>
            <w:instrText xml:space="preserve"> PAGE  \* Arabic  \* MERGEFORMAT </w:instrText>
          </w:r>
          <w:r>
            <w:rPr>
              <w:rFonts w:eastAsia="Verdana" w:cs="Verdana"/>
            </w:rPr>
            <w:fldChar w:fldCharType="separate"/>
          </w:r>
          <w:r>
            <w:rPr>
              <w:rFonts w:ascii="Verdana" w:eastAsia="Verdana" w:hAnsi="Verdana" w:cs="Verdana"/>
              <w:sz w:val="18"/>
              <w:szCs w:val="22"/>
              <w:lang w:val="en-GB" w:eastAsia="en-US" w:bidi="ar-SA"/>
            </w:rPr>
            <w:t>1</w:t>
          </w:r>
          <w:r>
            <w:rPr>
              <w:rFonts w:eastAsia="Verdana" w:cs="Verdana"/>
            </w:rPr>
            <w:fldChar w:fldCharType="end"/>
          </w:r>
          <w:r>
            <w:t>/</w:t>
          </w:r>
          <w:r>
            <w:rPr>
              <w:rFonts w:eastAsia="Verdana" w:cs="Verdana"/>
            </w:rPr>
            <w:fldChar w:fldCharType="begin"/>
          </w:r>
          <w:r>
            <w:rPr>
              <w:rFonts w:eastAsia="Verdana" w:cs="Verdana"/>
            </w:rPr>
            <w:instrText xml:space="preserve"> NUMPAGES  \# "0" \* Arabic  \* MERGEFORMAT </w:instrText>
          </w:r>
          <w:r>
            <w:rPr>
              <w:rFonts w:eastAsia="Verdana" w:cs="Verdana"/>
            </w:rPr>
            <w:fldChar w:fldCharType="separate"/>
          </w:r>
          <w:r>
            <w:rPr>
              <w:rFonts w:ascii="Verdana" w:eastAsia="Verdana" w:hAnsi="Verdana" w:cs="Verdana"/>
              <w:sz w:val="18"/>
              <w:szCs w:val="22"/>
              <w:lang w:val="en-GB" w:eastAsia="en-US" w:bidi="ar-SA"/>
            </w:rPr>
            <w:t>2</w:t>
          </w:r>
          <w:r>
            <w:rPr>
              <w:rFonts w:eastAsia="Verdana" w:cs="Verdana"/>
            </w:rPr>
            <w:fldChar w:fldCharType="end"/>
          </w:r>
        </w:p>
      </w:tc>
    </w:tr>
    <w:tr w14:paraId="49B804E7" w14:textId="77777777" w:rsidTr="00CB5F45">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CB5F45" w:rsidRPr="00CB5F45" w:rsidP="00703F81" w14:paraId="6C99652F" w14:textId="3CA7BA00">
          <w:pPr>
            <w:jc w:val="left"/>
            <w:rPr>
              <w:rFonts w:eastAsia="Verdana" w:cs="Verdana"/>
              <w:szCs w:val="18"/>
            </w:rPr>
          </w:pPr>
          <w:bookmarkStart w:id="6" w:name="bmkCommittee" w:colFirst="0" w:colLast="0"/>
          <w:bookmarkStart w:id="7" w:name="bmkLanguage" w:colFirst="1" w:colLast="1"/>
          <w:bookmarkEnd w:id="5"/>
          <w:r>
            <w:rPr>
              <w:b/>
            </w:rPr>
            <w:t>Committee on Technical Barriers to Trade</w:t>
          </w:r>
        </w:p>
      </w:tc>
      <w:tc>
        <w:tcPr>
          <w:tcW w:w="1799" w:type="pct"/>
          <w:tcBorders>
            <w:top w:val="single" w:sz="4" w:space="0" w:color="auto"/>
          </w:tcBorders>
          <w:tcMar>
            <w:top w:w="113" w:type="dxa"/>
            <w:left w:w="108" w:type="dxa"/>
            <w:bottom w:w="57" w:type="dxa"/>
            <w:right w:w="108" w:type="dxa"/>
          </w:tcMar>
        </w:tcPr>
        <w:p w:rsidR="00CB5F45" w:rsidRPr="00CB5F45" w:rsidP="00703F81" w14:paraId="53CBBA54" w14:textId="77777777">
          <w:pPr>
            <w:jc w:val="right"/>
            <w:rPr>
              <w:rFonts w:eastAsia="Verdana" w:cs="Verdana"/>
              <w:bCs/>
              <w:szCs w:val="18"/>
              <w:lang w:val="fr-FR"/>
            </w:rPr>
          </w:pPr>
        </w:p>
      </w:tc>
    </w:tr>
    <w:bookmarkEnd w:id="2"/>
    <w:bookmarkEnd w:id="6"/>
    <w:bookmarkEnd w:id="7"/>
  </w:tbl>
  <w:p w:rsidR="00ED54E0" w:rsidRPr="00CB5F45" w14:paraId="4CACC9C0" w14:textId="77777777">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00000002"/>
    <w:multiLevelType w:val="singleLevel"/>
    <w:tmpl w:val="2E641DFE"/>
    <w:lvl w:ilvl="0">
      <w:start w:val="1"/>
      <w:numFmt w:val="decimal"/>
      <w:lvlText w:val="%1."/>
      <w:lvlJc w:val="left"/>
      <w:pPr>
        <w:tabs>
          <w:tab w:val="left" w:pos="926"/>
        </w:tabs>
        <w:ind w:left="926" w:hanging="360"/>
      </w:pPr>
    </w:lvl>
  </w:abstractNum>
  <w:abstractNum w:abstractNumId="11">
    <w:nsid w:val="0000000B"/>
    <w:multiLevelType w:val="hybridMultilevel"/>
    <w:tmpl w:val="C45A41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2">
    <w:nsid w:val="00000013"/>
    <w:multiLevelType w:val="hybridMultilevel"/>
    <w:tmpl w:val="B9206E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129B024C"/>
    <w:multiLevelType w:val="multilevel"/>
    <w:tmpl w:val="A8AC5654"/>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0"/>
      <w:numFmt w:val="bullet"/>
      <w:lvlText w:val="-"/>
      <w:lvlJc w:val="left"/>
      <w:pPr>
        <w:tabs>
          <w:tab w:val="num" w:pos="944"/>
        </w:tabs>
        <w:ind w:left="944" w:hanging="224"/>
      </w:pPr>
      <w:rPr>
        <w:rFonts w:ascii="Times New Roman" w:eastAsia="Batang" w:hAnsi="Times New Roman" w:cs="Times New Roman"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14">
    <w:nsid w:val="32AF31BD"/>
    <w:multiLevelType w:val="hybridMultilevel"/>
    <w:tmpl w:val="C45A41FA"/>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1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7">
    <w:nsid w:val="57454AB1"/>
    <w:multiLevelType w:val="multilevel"/>
    <w:tmpl w:val="CDB8BA1A"/>
    <w:lvl w:ilvl="0">
      <w:start w:val="1"/>
      <w:numFmt w:val="decimal"/>
      <w:pStyle w:val="Heading1"/>
      <w:isLgl/>
      <w:suff w:val="nothing"/>
      <w:lvlText w:val="%1  "/>
      <w:lvlJc w:val="left"/>
      <w:pPr>
        <w:ind w:left="0" w:firstLine="0"/>
      </w:p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9">
    <w:nsid w:val="5A611313"/>
    <w:multiLevelType w:val="hybridMultilevel"/>
    <w:tmpl w:val="98E412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E1D4C0F"/>
    <w:multiLevelType w:val="multilevel"/>
    <w:tmpl w:val="34724F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720"/>
        </w:tabs>
        <w:ind w:left="720" w:hanging="720"/>
      </w:pPr>
      <w:rPr>
        <w:rFonts w:hint="default"/>
      </w:rPr>
    </w:lvl>
    <w:lvl w:ilvl="2">
      <w:start w:val="1"/>
      <w:numFmt w:val="decimal"/>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720"/>
        </w:tabs>
        <w:ind w:left="720" w:hanging="720"/>
      </w:pPr>
      <w:rPr>
        <w:rFonts w:hint="default"/>
      </w:rPr>
    </w:lvl>
    <w:lvl w:ilvl="5">
      <w:start w:val="1"/>
      <w:numFmt w:val="decimal"/>
      <w:lvlRestart w:val="0"/>
      <w:lvlText w:val="%6."/>
      <w:lvlJc w:val="left"/>
      <w:pPr>
        <w:tabs>
          <w:tab w:val="num" w:pos="720"/>
        </w:tabs>
        <w:ind w:left="0" w:firstLine="0"/>
      </w:pPr>
      <w:rPr>
        <w:rFonts w:hint="default"/>
      </w:rPr>
    </w:lvl>
    <w:lvl w:ilvl="6">
      <w:start w:val="0"/>
      <w:numFmt w:val="bullet"/>
      <w:lvlText w:val="-"/>
      <w:lvlJc w:val="left"/>
      <w:pPr>
        <w:tabs>
          <w:tab w:val="num" w:pos="944"/>
        </w:tabs>
        <w:ind w:left="944" w:hanging="224"/>
      </w:pPr>
      <w:rPr>
        <w:rFonts w:ascii="Times New Roman" w:eastAsia="Batang" w:hAnsi="Times New Roman" w:cs="Times New Roman" w:hint="default"/>
      </w:rPr>
    </w:lvl>
    <w:lvl w:ilvl="7">
      <w:start w:val="1"/>
      <w:numFmt w:val="lowerRoman"/>
      <w:lvlText w:val="(%8)"/>
      <w:lvlJc w:val="left"/>
      <w:pPr>
        <w:tabs>
          <w:tab w:val="num" w:pos="2160"/>
        </w:tabs>
        <w:ind w:left="2160" w:hanging="720"/>
      </w:pPr>
      <w:rPr>
        <w:rFonts w:hint="default"/>
      </w:rPr>
    </w:lvl>
    <w:lvl w:ilvl="8">
      <w:start w:val="1"/>
      <w:numFmt w:val="none"/>
      <w:lvlText w:val="-"/>
      <w:lvlJc w:val="left"/>
      <w:pPr>
        <w:tabs>
          <w:tab w:val="num" w:pos="2160"/>
        </w:tabs>
        <w:ind w:left="2160" w:hanging="720"/>
      </w:pPr>
      <w:rPr>
        <w:rFonts w:hint="default"/>
      </w:rPr>
    </w:lvl>
  </w:abstractNum>
  <w:abstractNum w:abstractNumId="21">
    <w:nsid w:val="5FB449E1"/>
    <w:multiLevelType w:val="hybridMultilevel"/>
    <w:tmpl w:val="0ECACE6E"/>
    <w:lvl w:ilvl="0">
      <w:start w:val="1"/>
      <w:numFmt w:val="lowerRoman"/>
      <w:lvlText w:val="%1."/>
      <w:lvlJc w:val="righ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60AE4697"/>
    <w:multiLevelType w:val="hybridMultilevel"/>
    <w:tmpl w:val="B9206E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95F37F9"/>
    <w:multiLevelType w:val="multilevel"/>
    <w:tmpl w:val="A74C8652"/>
    <w:lvl w:ilvl="0">
      <w:start w:val="1"/>
      <w:numFmt w:val="decimal"/>
      <w:lvlText w:val="%1.0"/>
      <w:lvlJc w:val="left"/>
      <w:pPr>
        <w:ind w:left="1080" w:hanging="720"/>
      </w:pPr>
      <w:rPr>
        <w:b/>
      </w:rPr>
    </w:lvl>
    <w:lvl w:ilvl="1">
      <w:start w:val="1"/>
      <w:numFmt w:val="decimal"/>
      <w:lvlText w:val="%1.%2"/>
      <w:lvlJc w:val="left"/>
      <w:pPr>
        <w:ind w:left="1080" w:hanging="720"/>
      </w:pPr>
      <w:rPr>
        <w:b/>
      </w:rPr>
    </w:lvl>
    <w:lvl w:ilvl="2">
      <w:start w:val="1"/>
      <w:numFmt w:val="decimal"/>
      <w:lvlText w:val="%1.%2.%3"/>
      <w:lvlJc w:val="left"/>
      <w:pPr>
        <w:ind w:left="2520" w:hanging="720"/>
      </w:pPr>
    </w:lvl>
    <w:lvl w:ilvl="3">
      <w:start w:val="1"/>
      <w:numFmt w:val="decimal"/>
      <w:lvlText w:val="%1.%2.%3.%4"/>
      <w:lvlJc w:val="left"/>
      <w:pPr>
        <w:ind w:left="3600" w:hanging="1080"/>
      </w:pPr>
    </w:lvl>
    <w:lvl w:ilvl="4">
      <w:start w:val="1"/>
      <w:numFmt w:val="decimal"/>
      <w:lvlText w:val="%1.%2.%3.%4.%5"/>
      <w:lvlJc w:val="left"/>
      <w:pPr>
        <w:ind w:left="4680" w:hanging="1440"/>
      </w:pPr>
    </w:lvl>
    <w:lvl w:ilvl="5">
      <w:start w:val="1"/>
      <w:numFmt w:val="decimal"/>
      <w:lvlText w:val="%1.%2.%3.%4.%5.%6"/>
      <w:lvlJc w:val="left"/>
      <w:pPr>
        <w:ind w:left="5400" w:hanging="1440"/>
      </w:pPr>
    </w:lvl>
    <w:lvl w:ilvl="6">
      <w:start w:val="1"/>
      <w:numFmt w:val="decimal"/>
      <w:lvlText w:val="%1.%2.%3.%4.%5.%6.%7"/>
      <w:lvlJc w:val="left"/>
      <w:pPr>
        <w:ind w:left="6480" w:hanging="1800"/>
      </w:pPr>
    </w:lvl>
    <w:lvl w:ilvl="7">
      <w:start w:val="1"/>
      <w:numFmt w:val="decimal"/>
      <w:lvlText w:val="%1.%2.%3.%4.%5.%6.%7.%8"/>
      <w:lvlJc w:val="left"/>
      <w:pPr>
        <w:ind w:left="7560" w:hanging="2160"/>
      </w:pPr>
    </w:lvl>
    <w:lvl w:ilvl="8">
      <w:start w:val="1"/>
      <w:numFmt w:val="decimal"/>
      <w:lvlText w:val="%1.%2.%3.%4.%5.%6.%7.%8.%9"/>
      <w:lvlJc w:val="left"/>
      <w:pPr>
        <w:ind w:left="8280" w:hanging="2160"/>
      </w:pPr>
    </w:lvl>
  </w:abstractNum>
  <w:abstractNum w:abstractNumId="25">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05114026">
    <w:abstractNumId w:val="9"/>
  </w:num>
  <w:num w:numId="2" w16cid:durableId="864827950">
    <w:abstractNumId w:val="7"/>
  </w:num>
  <w:num w:numId="3" w16cid:durableId="1696492628">
    <w:abstractNumId w:val="6"/>
  </w:num>
  <w:num w:numId="4" w16cid:durableId="995458431">
    <w:abstractNumId w:val="5"/>
  </w:num>
  <w:num w:numId="5" w16cid:durableId="721486025">
    <w:abstractNumId w:val="4"/>
  </w:num>
  <w:num w:numId="6" w16cid:durableId="1545367627">
    <w:abstractNumId w:val="18"/>
  </w:num>
  <w:num w:numId="7" w16cid:durableId="1245533666">
    <w:abstractNumId w:val="17"/>
  </w:num>
  <w:num w:numId="8" w16cid:durableId="989360357">
    <w:abstractNumId w:val="16"/>
  </w:num>
  <w:num w:numId="9" w16cid:durableId="192834070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0233221">
    <w:abstractNumId w:val="23"/>
  </w:num>
  <w:num w:numId="11" w16cid:durableId="537864436">
    <w:abstractNumId w:val="8"/>
  </w:num>
  <w:num w:numId="12" w16cid:durableId="60294015">
    <w:abstractNumId w:val="3"/>
  </w:num>
  <w:num w:numId="13" w16cid:durableId="570428936">
    <w:abstractNumId w:val="2"/>
  </w:num>
  <w:num w:numId="14" w16cid:durableId="820196528">
    <w:abstractNumId w:val="1"/>
  </w:num>
  <w:num w:numId="15" w16cid:durableId="1106537144">
    <w:abstractNumId w:val="0"/>
  </w:num>
  <w:num w:numId="16" w16cid:durableId="1548955106">
    <w:abstractNumId w:val="17"/>
    <w:lvlOverride w:ilvl="0">
      <w:lvl w:ilvl="0">
        <w:start w:val="1"/>
        <w:numFmt w:val="decimal"/>
        <w:pStyle w:val="Heading1"/>
        <w:isLgl/>
        <w:suff w:val="nothing"/>
        <w:lvlText w:val="%1  "/>
        <w:lvlJc w:val="left"/>
        <w:pPr>
          <w:ind w:left="0" w:firstLine="0"/>
        </w:pPr>
        <w:rPr>
          <w:rFonts w:hint="default"/>
        </w:rPr>
      </w:lvl>
    </w:lvlOverride>
    <w:lvlOverride w:ilvl="1">
      <w:lvl w:ilvl="1">
        <w:start w:val="1"/>
        <w:numFmt w:val="decimal"/>
        <w:pStyle w:val="Heading2"/>
        <w:isLgl/>
        <w:suff w:val="nothing"/>
        <w:lvlText w:val="%1.%2  "/>
        <w:lvlJc w:val="left"/>
        <w:pPr>
          <w:ind w:left="0" w:firstLine="0"/>
        </w:pPr>
        <w:rPr>
          <w:rFonts w:hint="default"/>
        </w:rPr>
      </w:lvl>
    </w:lvlOverride>
    <w:lvlOverride w:ilvl="2">
      <w:lvl w:ilvl="2">
        <w:start w:val="1"/>
        <w:numFmt w:val="decimal"/>
        <w:pStyle w:val="Heading3"/>
        <w:isLgl/>
        <w:suff w:val="nothing"/>
        <w:lvlText w:val="%1.%2.%3  "/>
        <w:lvlJc w:val="left"/>
        <w:pPr>
          <w:ind w:left="0" w:firstLine="0"/>
        </w:pPr>
        <w:rPr>
          <w:rFonts w:hint="default"/>
        </w:rPr>
      </w:lvl>
    </w:lvlOverride>
    <w:lvlOverride w:ilvl="3">
      <w:lvl w:ilvl="3">
        <w:start w:val="1"/>
        <w:numFmt w:val="decimal"/>
        <w:pStyle w:val="Heading4"/>
        <w:isLgl/>
        <w:suff w:val="nothing"/>
        <w:lvlText w:val="%1.%2.%3.%4  "/>
        <w:lvlJc w:val="left"/>
        <w:pPr>
          <w:ind w:left="0" w:firstLine="0"/>
        </w:pPr>
        <w:rPr>
          <w:rFonts w:hint="default"/>
        </w:rPr>
      </w:lvl>
    </w:lvlOverride>
    <w:lvlOverride w:ilvl="4">
      <w:lvl w:ilvl="4">
        <w:start w:val="1"/>
        <w:numFmt w:val="decimal"/>
        <w:pStyle w:val="Heading5"/>
        <w:isLgl/>
        <w:suff w:val="nothing"/>
        <w:lvlText w:val="%1.%2.%3.%4.%5  "/>
        <w:lvlJc w:val="left"/>
        <w:pPr>
          <w:ind w:left="0" w:firstLine="0"/>
        </w:pPr>
        <w:rPr>
          <w:rFonts w:hint="default"/>
        </w:rPr>
      </w:lvl>
    </w:lvlOverride>
    <w:lvlOverride w:ilvl="5">
      <w:lvl w:ilvl="5">
        <w:start w:val="1"/>
        <w:numFmt w:val="decimal"/>
        <w:pStyle w:val="Heading6"/>
        <w:isLgl/>
        <w:suff w:val="nothing"/>
        <w:lvlText w:val="%1.%2.%3.%4.%5.%6  "/>
        <w:lvlJc w:val="left"/>
        <w:pPr>
          <w:ind w:left="0" w:firstLine="0"/>
        </w:pPr>
        <w:rPr>
          <w:rFonts w:hint="default"/>
        </w:rPr>
      </w:lvl>
    </w:lvlOverride>
    <w:lvlOverride w:ilvl="6">
      <w:lvl w:ilvl="6">
        <w:start w:val="1"/>
        <w:numFmt w:val="decimal"/>
        <w:lvlRestart w:val="1"/>
        <w:pStyle w:val="BodyText"/>
        <w:isLgl/>
        <w:suff w:val="nothing"/>
        <w:lvlText w:val="%1.%7.  "/>
        <w:lvlJc w:val="left"/>
        <w:pPr>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Override>
    <w:lvlOverride w:ilvl="7">
      <w:lvl w:ilvl="7">
        <w:start w:val="1"/>
        <w:numFmt w:val="lowerLetter"/>
        <w:pStyle w:val="BodyText2"/>
        <w:lvlText w:val="%8."/>
        <w:lvlJc w:val="left"/>
        <w:pPr>
          <w:tabs>
            <w:tab w:val="num" w:pos="907"/>
          </w:tabs>
          <w:ind w:left="907" w:hanging="340"/>
        </w:pPr>
        <w:rPr>
          <w:rFonts w:hint="default"/>
        </w:rPr>
      </w:lvl>
    </w:lvlOverride>
    <w:lvlOverride w:ilvl="8">
      <w:lvl w:ilvl="8">
        <w:start w:val="1"/>
        <w:numFmt w:val="lowerRoman"/>
        <w:pStyle w:val="BodyText3"/>
        <w:lvlText w:val="%9."/>
        <w:lvlJc w:val="left"/>
        <w:pPr>
          <w:tabs>
            <w:tab w:val="num" w:pos="1247"/>
          </w:tabs>
          <w:ind w:left="1247" w:hanging="340"/>
        </w:pPr>
        <w:rPr>
          <w:rFonts w:hint="default"/>
        </w:rPr>
      </w:lvl>
    </w:lvlOverride>
  </w:num>
  <w:num w:numId="17" w16cid:durableId="2027824254">
    <w:abstractNumId w:val="17"/>
  </w:num>
  <w:num w:numId="18" w16cid:durableId="108306319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685650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50611608">
    <w:abstractNumId w:val="15"/>
  </w:num>
  <w:num w:numId="21" w16cid:durableId="1890068666">
    <w:abstractNumId w:val="25"/>
  </w:num>
  <w:num w:numId="22" w16cid:durableId="576017814">
    <w:abstractNumId w:val="19"/>
  </w:num>
  <w:num w:numId="23" w16cid:durableId="1530877903">
    <w:abstractNumId w:val="17"/>
  </w:num>
  <w:num w:numId="24" w16cid:durableId="247811014">
    <w:abstractNumId w:val="17"/>
  </w:num>
  <w:num w:numId="25" w16cid:durableId="1885212239">
    <w:abstractNumId w:val="17"/>
  </w:num>
  <w:num w:numId="26" w16cid:durableId="278025610">
    <w:abstractNumId w:val="17"/>
  </w:num>
  <w:num w:numId="27" w16cid:durableId="125779093">
    <w:abstractNumId w:val="17"/>
  </w:num>
  <w:num w:numId="28" w16cid:durableId="1031610375">
    <w:abstractNumId w:val="17"/>
  </w:num>
  <w:num w:numId="29" w16cid:durableId="2112049659">
    <w:abstractNumId w:val="17"/>
  </w:num>
  <w:num w:numId="30" w16cid:durableId="2144883719">
    <w:abstractNumId w:val="17"/>
  </w:num>
  <w:num w:numId="31" w16cid:durableId="1542281546">
    <w:abstractNumId w:val="17"/>
  </w:num>
  <w:num w:numId="32" w16cid:durableId="785857844">
    <w:abstractNumId w:val="20"/>
  </w:num>
  <w:num w:numId="33" w16cid:durableId="989597300">
    <w:abstractNumId w:val="13"/>
  </w:num>
  <w:num w:numId="34" w16cid:durableId="2061829912">
    <w:abstractNumId w:val="22"/>
  </w:num>
  <w:num w:numId="35" w16cid:durableId="1435132597">
    <w:abstractNumId w:val="21"/>
  </w:num>
  <w:num w:numId="36" w16cid:durableId="1440029154">
    <w:abstractNumId w:val="17"/>
  </w:num>
  <w:num w:numId="37" w16cid:durableId="1567912029">
    <w:abstractNumId w:val="14"/>
  </w:num>
  <w:num w:numId="38" w16cid:durableId="376005246">
    <w:abstractNumId w:val="17"/>
  </w:num>
  <w:num w:numId="39" w16cid:durableId="122768384">
    <w:abstractNumId w:val="17"/>
  </w:num>
  <w:num w:numId="40" w16cid:durableId="871453631">
    <w:abstractNumId w:val="17"/>
  </w:num>
  <w:num w:numId="41" w16cid:durableId="1049918843">
    <w:abstractNumId w:val="17"/>
  </w:num>
  <w:num w:numId="42" w16cid:durableId="1090005495">
    <w:abstractNumId w:val="17"/>
  </w:num>
  <w:num w:numId="43" w16cid:durableId="183137570">
    <w:abstractNumId w:val="17"/>
  </w:num>
  <w:num w:numId="44" w16cid:durableId="1422220226">
    <w:abstractNumId w:val="17"/>
  </w:num>
  <w:num w:numId="45" w16cid:durableId="37593518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72156792">
    <w:abstractNumId w:val="17"/>
  </w:num>
  <w:num w:numId="47" w16cid:durableId="911113691">
    <w:abstractNumId w:val="10"/>
  </w:num>
  <w:num w:numId="48" w16cid:durableId="1886599873">
    <w:abstractNumId w:val="12"/>
  </w:num>
  <w:num w:numId="49" w16cid:durableId="2129316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2"/>
  <w:proofState w:spelling="clean"/>
  <w:attachedTemplate r:id="rId1"/>
  <w:defaultTabStop w:val="567"/>
  <w:hyphenationZone w:val="425"/>
  <w:evenAndOddHeaders/>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481B"/>
    <w:rsid w:val="0001481E"/>
    <w:rsid w:val="00016333"/>
    <w:rsid w:val="000272F6"/>
    <w:rsid w:val="00037AC4"/>
    <w:rsid w:val="000423BF"/>
    <w:rsid w:val="0004284C"/>
    <w:rsid w:val="000706FF"/>
    <w:rsid w:val="00077DC5"/>
    <w:rsid w:val="00097FCA"/>
    <w:rsid w:val="000A4945"/>
    <w:rsid w:val="000B31E1"/>
    <w:rsid w:val="000D0544"/>
    <w:rsid w:val="001041E3"/>
    <w:rsid w:val="0011356B"/>
    <w:rsid w:val="00114434"/>
    <w:rsid w:val="00115F64"/>
    <w:rsid w:val="001223FC"/>
    <w:rsid w:val="001253E3"/>
    <w:rsid w:val="0013337F"/>
    <w:rsid w:val="00154C67"/>
    <w:rsid w:val="00182B84"/>
    <w:rsid w:val="00190864"/>
    <w:rsid w:val="00195DA8"/>
    <w:rsid w:val="001B6605"/>
    <w:rsid w:val="001B6D7F"/>
    <w:rsid w:val="001E291F"/>
    <w:rsid w:val="001E7870"/>
    <w:rsid w:val="00212EBE"/>
    <w:rsid w:val="00215898"/>
    <w:rsid w:val="00233408"/>
    <w:rsid w:val="00242F64"/>
    <w:rsid w:val="002575EC"/>
    <w:rsid w:val="00265786"/>
    <w:rsid w:val="0027067B"/>
    <w:rsid w:val="00281808"/>
    <w:rsid w:val="00286690"/>
    <w:rsid w:val="00294094"/>
    <w:rsid w:val="002A71E0"/>
    <w:rsid w:val="002F707E"/>
    <w:rsid w:val="003018FC"/>
    <w:rsid w:val="00305CBA"/>
    <w:rsid w:val="003156C6"/>
    <w:rsid w:val="00341F5E"/>
    <w:rsid w:val="003572B4"/>
    <w:rsid w:val="003663F6"/>
    <w:rsid w:val="00392709"/>
    <w:rsid w:val="0039567B"/>
    <w:rsid w:val="003A0337"/>
    <w:rsid w:val="003A3017"/>
    <w:rsid w:val="003B052C"/>
    <w:rsid w:val="003B2E2E"/>
    <w:rsid w:val="003B6EE5"/>
    <w:rsid w:val="003D0750"/>
    <w:rsid w:val="003D201D"/>
    <w:rsid w:val="003E3195"/>
    <w:rsid w:val="00425DC5"/>
    <w:rsid w:val="00430E77"/>
    <w:rsid w:val="004365D1"/>
    <w:rsid w:val="00442465"/>
    <w:rsid w:val="00463E2D"/>
    <w:rsid w:val="00467032"/>
    <w:rsid w:val="0046754A"/>
    <w:rsid w:val="00467C85"/>
    <w:rsid w:val="0047051A"/>
    <w:rsid w:val="0047085A"/>
    <w:rsid w:val="00491CB0"/>
    <w:rsid w:val="00495AC9"/>
    <w:rsid w:val="004A266B"/>
    <w:rsid w:val="004C18C1"/>
    <w:rsid w:val="004C3EDE"/>
    <w:rsid w:val="004E6D4C"/>
    <w:rsid w:val="004F203A"/>
    <w:rsid w:val="004F44BD"/>
    <w:rsid w:val="00510DE9"/>
    <w:rsid w:val="005259CA"/>
    <w:rsid w:val="005336B8"/>
    <w:rsid w:val="00542407"/>
    <w:rsid w:val="00544326"/>
    <w:rsid w:val="00547B5F"/>
    <w:rsid w:val="00551A16"/>
    <w:rsid w:val="0056365B"/>
    <w:rsid w:val="0056480E"/>
    <w:rsid w:val="00566FC4"/>
    <w:rsid w:val="00570AA7"/>
    <w:rsid w:val="00586652"/>
    <w:rsid w:val="00586EA6"/>
    <w:rsid w:val="00590DD8"/>
    <w:rsid w:val="005A1A22"/>
    <w:rsid w:val="005B04B9"/>
    <w:rsid w:val="005B68C7"/>
    <w:rsid w:val="005B7054"/>
    <w:rsid w:val="005C4025"/>
    <w:rsid w:val="005D5981"/>
    <w:rsid w:val="005F30CB"/>
    <w:rsid w:val="005F4C1F"/>
    <w:rsid w:val="005F727F"/>
    <w:rsid w:val="00612644"/>
    <w:rsid w:val="00634A10"/>
    <w:rsid w:val="00674CCD"/>
    <w:rsid w:val="00686480"/>
    <w:rsid w:val="00694BCE"/>
    <w:rsid w:val="006967BF"/>
    <w:rsid w:val="006972F9"/>
    <w:rsid w:val="006A2185"/>
    <w:rsid w:val="006C3955"/>
    <w:rsid w:val="006F5826"/>
    <w:rsid w:val="00700181"/>
    <w:rsid w:val="00701570"/>
    <w:rsid w:val="00703F81"/>
    <w:rsid w:val="007100D2"/>
    <w:rsid w:val="007141CF"/>
    <w:rsid w:val="007152F6"/>
    <w:rsid w:val="0073791A"/>
    <w:rsid w:val="00745146"/>
    <w:rsid w:val="007577E3"/>
    <w:rsid w:val="00760DB3"/>
    <w:rsid w:val="00762A2B"/>
    <w:rsid w:val="0076560E"/>
    <w:rsid w:val="0078157E"/>
    <w:rsid w:val="00795A4B"/>
    <w:rsid w:val="007972BA"/>
    <w:rsid w:val="007C0FA5"/>
    <w:rsid w:val="007C3889"/>
    <w:rsid w:val="007D40B3"/>
    <w:rsid w:val="007E447B"/>
    <w:rsid w:val="007E6507"/>
    <w:rsid w:val="007F2B8E"/>
    <w:rsid w:val="007F32D1"/>
    <w:rsid w:val="00807247"/>
    <w:rsid w:val="008262D4"/>
    <w:rsid w:val="008404BF"/>
    <w:rsid w:val="00840C2B"/>
    <w:rsid w:val="00862B40"/>
    <w:rsid w:val="008739FD"/>
    <w:rsid w:val="00893E85"/>
    <w:rsid w:val="008940F9"/>
    <w:rsid w:val="008B7F72"/>
    <w:rsid w:val="008D7949"/>
    <w:rsid w:val="008E372C"/>
    <w:rsid w:val="008F7899"/>
    <w:rsid w:val="00906997"/>
    <w:rsid w:val="00912888"/>
    <w:rsid w:val="009129D0"/>
    <w:rsid w:val="009178DE"/>
    <w:rsid w:val="00963B90"/>
    <w:rsid w:val="00970703"/>
    <w:rsid w:val="00981BF2"/>
    <w:rsid w:val="009A0597"/>
    <w:rsid w:val="009A6F54"/>
    <w:rsid w:val="009C2247"/>
    <w:rsid w:val="009C4212"/>
    <w:rsid w:val="009C51D7"/>
    <w:rsid w:val="009D5154"/>
    <w:rsid w:val="009E4786"/>
    <w:rsid w:val="00A17420"/>
    <w:rsid w:val="00A42354"/>
    <w:rsid w:val="00A6057A"/>
    <w:rsid w:val="00A64843"/>
    <w:rsid w:val="00A71537"/>
    <w:rsid w:val="00A735E3"/>
    <w:rsid w:val="00A74017"/>
    <w:rsid w:val="00A77E68"/>
    <w:rsid w:val="00A902C3"/>
    <w:rsid w:val="00AA332C"/>
    <w:rsid w:val="00AC0820"/>
    <w:rsid w:val="00AC27F8"/>
    <w:rsid w:val="00AD0DBD"/>
    <w:rsid w:val="00AD30FD"/>
    <w:rsid w:val="00AD4C72"/>
    <w:rsid w:val="00AE2AEE"/>
    <w:rsid w:val="00B00276"/>
    <w:rsid w:val="00B230EC"/>
    <w:rsid w:val="00B52738"/>
    <w:rsid w:val="00B56EDC"/>
    <w:rsid w:val="00B60206"/>
    <w:rsid w:val="00B66148"/>
    <w:rsid w:val="00B72EB1"/>
    <w:rsid w:val="00B96A74"/>
    <w:rsid w:val="00BA4A34"/>
    <w:rsid w:val="00BB1F84"/>
    <w:rsid w:val="00BB6FBB"/>
    <w:rsid w:val="00BC1A02"/>
    <w:rsid w:val="00BE3476"/>
    <w:rsid w:val="00BE5468"/>
    <w:rsid w:val="00BE5C94"/>
    <w:rsid w:val="00BE7F98"/>
    <w:rsid w:val="00BF79CC"/>
    <w:rsid w:val="00C11EAC"/>
    <w:rsid w:val="00C15F6D"/>
    <w:rsid w:val="00C305D7"/>
    <w:rsid w:val="00C30F2A"/>
    <w:rsid w:val="00C408D1"/>
    <w:rsid w:val="00C43456"/>
    <w:rsid w:val="00C65C0C"/>
    <w:rsid w:val="00C801FF"/>
    <w:rsid w:val="00C808FC"/>
    <w:rsid w:val="00CA1428"/>
    <w:rsid w:val="00CA2EF9"/>
    <w:rsid w:val="00CA7CA2"/>
    <w:rsid w:val="00CB5F45"/>
    <w:rsid w:val="00CD309B"/>
    <w:rsid w:val="00CD481B"/>
    <w:rsid w:val="00CD7D97"/>
    <w:rsid w:val="00CE3EE6"/>
    <w:rsid w:val="00CE4BA1"/>
    <w:rsid w:val="00CF5529"/>
    <w:rsid w:val="00D000C7"/>
    <w:rsid w:val="00D07E2A"/>
    <w:rsid w:val="00D221B8"/>
    <w:rsid w:val="00D26433"/>
    <w:rsid w:val="00D52A9D"/>
    <w:rsid w:val="00D55AAD"/>
    <w:rsid w:val="00D6197F"/>
    <w:rsid w:val="00D62242"/>
    <w:rsid w:val="00D747AE"/>
    <w:rsid w:val="00D92221"/>
    <w:rsid w:val="00D9226C"/>
    <w:rsid w:val="00DA20BD"/>
    <w:rsid w:val="00DB205A"/>
    <w:rsid w:val="00DD14F3"/>
    <w:rsid w:val="00DE50DB"/>
    <w:rsid w:val="00DF6AE1"/>
    <w:rsid w:val="00E17228"/>
    <w:rsid w:val="00E24C3F"/>
    <w:rsid w:val="00E37159"/>
    <w:rsid w:val="00E43F90"/>
    <w:rsid w:val="00E46FD5"/>
    <w:rsid w:val="00E544BB"/>
    <w:rsid w:val="00E56545"/>
    <w:rsid w:val="00E84614"/>
    <w:rsid w:val="00EA5D4F"/>
    <w:rsid w:val="00EB6C56"/>
    <w:rsid w:val="00EB7FF1"/>
    <w:rsid w:val="00ED1D47"/>
    <w:rsid w:val="00ED54E0"/>
    <w:rsid w:val="00EE71F6"/>
    <w:rsid w:val="00EF1B5B"/>
    <w:rsid w:val="00F0186E"/>
    <w:rsid w:val="00F32397"/>
    <w:rsid w:val="00F40595"/>
    <w:rsid w:val="00F56489"/>
    <w:rsid w:val="00F81002"/>
    <w:rsid w:val="00F9086F"/>
    <w:rsid w:val="00F93F4A"/>
    <w:rsid w:val="00FA5EBC"/>
    <w:rsid w:val="00FB7CC7"/>
    <w:rsid w:val="00FC4031"/>
    <w:rsid w:val="00FD224A"/>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E933A7F"/>
  <w15:docId w15:val="{B40CE8D9-9946-4893-BCCC-8CE9D197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11"/>
      </w:numPr>
      <w:contextualSpacing/>
    </w:pPr>
  </w:style>
  <w:style w:type="paragraph" w:styleId="ListNumber2">
    <w:name w:val="List Number 2"/>
    <w:basedOn w:val="Normal"/>
    <w:uiPriority w:val="49"/>
    <w:semiHidden/>
    <w:unhideWhenUsed/>
    <w:rsid w:val="00547B5F"/>
    <w:pPr>
      <w:numPr>
        <w:numId w:val="12"/>
      </w:numPr>
      <w:contextualSpacing/>
    </w:pPr>
  </w:style>
  <w:style w:type="paragraph" w:styleId="ListNumber3">
    <w:name w:val="List Number 3"/>
    <w:basedOn w:val="Normal"/>
    <w:uiPriority w:val="49"/>
    <w:unhideWhenUsed/>
    <w:rsid w:val="00547B5F"/>
    <w:pPr>
      <w:numPr>
        <w:numId w:val="13"/>
      </w:numPr>
      <w:contextualSpacing/>
    </w:pPr>
  </w:style>
  <w:style w:type="paragraph" w:styleId="ListNumber4">
    <w:name w:val="List Number 4"/>
    <w:basedOn w:val="Normal"/>
    <w:uiPriority w:val="49"/>
    <w:semiHidden/>
    <w:unhideWhenUsed/>
    <w:rsid w:val="00547B5F"/>
    <w:pPr>
      <w:numPr>
        <w:numId w:val="14"/>
      </w:numPr>
      <w:contextualSpacing/>
    </w:pPr>
  </w:style>
  <w:style w:type="paragraph" w:styleId="ListNumber5">
    <w:name w:val="List Number 5"/>
    <w:basedOn w:val="Normal"/>
    <w:uiPriority w:val="49"/>
    <w:semiHidden/>
    <w:unhideWhenUsed/>
    <w:rsid w:val="00547B5F"/>
    <w:pPr>
      <w:numPr>
        <w:numId w:val="15"/>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21"/>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customStyle="1" w:styleId="ui-provider">
    <w:name w:val="ui-provider"/>
    <w:basedOn w:val="DefaultParagraphFont"/>
    <w:rsid w:val="00077DC5"/>
  </w:style>
  <w:style w:type="character" w:styleId="UnresolvedMention">
    <w:name w:val="Unresolved Mention"/>
    <w:basedOn w:val="DefaultParagraphFont"/>
    <w:uiPriority w:val="99"/>
    <w:rsid w:val="009707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senegalservices.sn/" TargetMode="External" /><Relationship Id="rId11" Type="http://schemas.openxmlformats.org/officeDocument/2006/relationships/hyperlink" Target="https://www.asn.sn/fr/lois-reglements" TargetMode="External" /><Relationship Id="rId12" Type="http://schemas.openxmlformats.org/officeDocument/2006/relationships/hyperlink" Target="https://senegalservices.sn" TargetMode="External" /><Relationship Id="rId13" Type="http://schemas.openxmlformats.org/officeDocument/2006/relationships/hyperlink" Target="mailto:asn@asn.sn" TargetMode="External"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theme" Target="theme/theme1.xml" /><Relationship Id="rId2" Type="http://schemas.openxmlformats.org/officeDocument/2006/relationships/settings" Target="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s://asn.sn/fr/content/cr%C3%A9ation-du-sous-comit%C3%A9-otc" TargetMode="External" /><Relationship Id="rId8" Type="http://schemas.openxmlformats.org/officeDocument/2006/relationships/hyperlink" Target="https://asn.sn/fr/normes" TargetMode="External" /><Relationship Id="rId9" Type="http://schemas.openxmlformats.org/officeDocument/2006/relationships/hyperlink" Target="https://asn.sn/fr/content/catalogue-des-normes-s%C3%A9n%C3%A9galaises-2023"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fr/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enon\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51f27f7b-b7c2-4788-a570-b333f43d13b1</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54923ED2-BAE9-402C-92A8-F4C68FDD7E71}">
  <ds:schemaRefs>
    <ds:schemaRef ds:uri="http://schemas.openxmlformats.org/officeDocument/2006/bibliography"/>
  </ds:schemaRefs>
</ds:datastoreItem>
</file>

<file path=customXml/itemProps2.xml><?xml version="1.0" encoding="utf-8"?>
<ds:datastoreItem xmlns:ds="http://schemas.openxmlformats.org/officeDocument/2006/customXml" ds:itemID="{3DE33096-36AE-40F5-B0D6-7A8000723F7F}">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WTODOCE2012.dotx</Template>
  <TotalTime>101</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Menon, Balakrishna K.</cp:lastModifiedBy>
  <cp:revision>7</cp:revision>
  <cp:lastPrinted>2017-09-06T09:33:00Z</cp:lastPrinted>
  <dcterms:created xsi:type="dcterms:W3CDTF">2025-09-19T10:27:00Z</dcterms:created>
  <dcterms:modified xsi:type="dcterms:W3CDTF">2025-09-26T16:40:00Z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G/TBT/15.2/N/SEN</vt:lpwstr>
  </property>
  <property fmtid="{D5CDD505-2E9C-101B-9397-08002B2CF9AE}" pid="3" name="TitusGUID">
    <vt:lpwstr>51f27f7b-b7c2-4788-a570-b333f43d13b1</vt:lpwstr>
  </property>
  <property fmtid="{D5CDD505-2E9C-101B-9397-08002B2CF9AE}" pid="4" name="WTOCLASSIFICATION">
    <vt:lpwstr>WTO OFFICIAL</vt:lpwstr>
  </property>
</Properties>
</file>