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CD481B" w:rsidRPr="00392709" w:rsidP="00CD481B" w14:paraId="77D2AD70" w14:textId="77777777">
      <w:pPr>
        <w:pStyle w:val="Title"/>
        <w:tabs>
          <w:tab w:val="left" w:pos="6521"/>
        </w:tabs>
      </w:pPr>
      <w:r w:rsidRPr="00392709">
        <w:t>IMPLEMENTATION AND ADMINISTRATION OF THE AGREEMENT</w:t>
      </w:r>
      <w:r w:rsidRPr="00392709">
        <w:br/>
        <w:t>ON TECHNICAL BARRIERS TO TRADE</w:t>
      </w:r>
    </w:p>
    <w:p w:rsidR="00906997" w:rsidP="00212EBE" w14:paraId="6854AC9A" w14:textId="77777777">
      <w:pPr>
        <w:pStyle w:val="Title3"/>
        <w:rPr>
          <w:i w:val="0"/>
          <w:caps/>
        </w:rPr>
      </w:pPr>
      <w:r w:rsidRPr="00906997">
        <w:rPr>
          <w:i w:val="0"/>
          <w:caps/>
        </w:rPr>
        <w:t>COMMUNICATION FROM KENYA</w:t>
      </w:r>
    </w:p>
    <w:p w:rsidR="00CD481B" w:rsidRPr="00392709" w:rsidP="00CD481B" w14:paraId="136E8729" w14:textId="77777777">
      <w:pPr>
        <w:spacing w:after="240"/>
      </w:pPr>
      <w:r w:rsidRPr="00392709">
        <w:t>The following communication under Article 15.2 of the Agreement on Technical Barriers to Trade</w:t>
      </w:r>
      <w:r>
        <w:t xml:space="preserve">, </w:t>
      </w:r>
      <w:r w:rsidRPr="00CD309B">
        <w:t>dated</w:t>
      </w:r>
      <w:r w:rsidRPr="00CD309B" w:rsidR="00906997">
        <w:t xml:space="preserve"> 23 September 2025</w:t>
      </w:r>
      <w:r w:rsidR="00FB7CC7">
        <w:t>,</w:t>
      </w:r>
      <w:r w:rsidRPr="00392709">
        <w:t xml:space="preserve"> has been received from </w:t>
      </w:r>
      <w:r>
        <w:t xml:space="preserve">the delegation of </w:t>
      </w:r>
      <w:r>
        <w:rPr>
          <w:u w:val="single"/>
        </w:rPr>
        <w:t>Kenya</w:t>
      </w:r>
      <w:r w:rsidRPr="00392709">
        <w:t xml:space="preserve">. </w:t>
      </w:r>
    </w:p>
    <w:p w:rsidR="00CD481B" w:rsidRPr="00392709" w:rsidP="00CD481B" w14:paraId="1243E300" w14:textId="77777777">
      <w:pPr>
        <w:jc w:val="center"/>
        <w:rPr>
          <w:b/>
        </w:rPr>
      </w:pPr>
      <w:r w:rsidRPr="00392709">
        <w:rPr>
          <w:b/>
        </w:rPr>
        <w:t>_______________</w:t>
      </w:r>
    </w:p>
    <w:p w:rsidR="00CD481B" w:rsidP="00CD481B" w14:paraId="516825D4" w14:textId="77777777"/>
    <w:p w:rsidR="00906997" w:rsidRPr="00906997" w:rsidP="00906997" w14:paraId="23802403" w14:textId="77777777">
      <w:pPr>
        <w:rPr>
          <w:szCs w:val="20"/>
        </w:rPr>
      </w:pPr>
    </w:p>
    <w:p w:rsidR="00FC0C98" w:rsidP="00FC0C98" w14:paraId="05F25372" w14:textId="77777777">
      <w:pPr>
        <w:pStyle w:val="Heading1"/>
      </w:pPr>
      <w:r w:rsidRPr="009129D0">
        <w:t>IMPLEMENTING ACTION</w:t>
      </w:r>
      <w:r w:rsidR="00195DA8">
        <w:t>S</w:t>
      </w:r>
    </w:p>
    <w:p w:rsidR="00FC0C98" w:rsidRPr="00C97EB2" w:rsidP="00FC0C98" w14:paraId="3C77F369" w14:textId="77777777">
      <w:pPr>
        <w:pStyle w:val="Heading2"/>
      </w:pPr>
      <w:r w:rsidRPr="00FC0C98">
        <w:t>INTRODUCTION</w:t>
      </w:r>
    </w:p>
    <w:p w:rsidR="00996D7A" w:rsidP="00FC0C98" w14:paraId="60C1E96C" w14:textId="77777777">
      <w:pPr>
        <w:pStyle w:val="BodyText"/>
      </w:pPr>
      <w:r w:rsidRPr="007972BA">
        <w:t xml:space="preserve">In accordance with Article 15.2 of the WTO Agreement on Technical Barriers to Trade (TBT) and considering the decision of the TBT Committee of 14 July 1995 concerning the Statement on Implementation and Administration as contained in document </w:t>
      </w:r>
      <w:hyperlink r:id="rId7" w:history="1">
        <w:r w:rsidRPr="00B864A2" w:rsidR="007972BA">
          <w:rPr>
            <w:rStyle w:val="Hyperlink"/>
          </w:rPr>
          <w:t>G/TBT/1/Rev.5</w:t>
        </w:r>
      </w:hyperlink>
      <w:r w:rsidRPr="007972BA">
        <w:t xml:space="preserve"> of 11 December 1997 and document </w:t>
      </w:r>
      <w:hyperlink r:id="rId8" w:history="1">
        <w:r w:rsidRPr="00B864A2">
          <w:rPr>
            <w:rStyle w:val="Hyperlink"/>
          </w:rPr>
          <w:t>G/TBT/1/Rev.6</w:t>
        </w:r>
      </w:hyperlink>
      <w:r w:rsidRPr="007972BA">
        <w:t>, the Government of the Republic of Kenya accepted the Agreements establishing WTO, the TBT Agreement and the associated Legal Instruments included in Annexes 1,</w:t>
      </w:r>
      <w:r w:rsidR="00B864A2">
        <w:t xml:space="preserve"> </w:t>
      </w:r>
      <w:r w:rsidRPr="007972BA">
        <w:t>2 and 3.</w:t>
      </w:r>
    </w:p>
    <w:p w:rsidR="007972BA" w:rsidRPr="007972BA" w:rsidP="00FC0C98" w14:paraId="0A24ABC1" w14:textId="77777777">
      <w:pPr>
        <w:pStyle w:val="Heading2"/>
      </w:pPr>
      <w:r w:rsidRPr="007972BA">
        <w:t>LEGAL AND INSTITUTIONAL FRAMEWORK</w:t>
      </w:r>
    </w:p>
    <w:p w:rsidR="00996D7A" w:rsidP="00FC0C98" w14:paraId="3BDDC495" w14:textId="77777777">
      <w:pPr>
        <w:pStyle w:val="BodyText"/>
      </w:pPr>
      <w:r w:rsidRPr="007972BA">
        <w:t>The principles and obligations of the WTO TBT Agreement are implemented in Kenya through several national laws and regulatory mechanisms. The legal and institutional frameworks are as follows:</w:t>
      </w:r>
    </w:p>
    <w:p w:rsidR="007972BA" w:rsidRPr="007972BA" w:rsidP="00BF16A2" w14:paraId="45CB6E2E" w14:textId="77777777">
      <w:pPr>
        <w:pStyle w:val="Heading3"/>
        <w:numPr>
          <w:ilvl w:val="2"/>
          <w:numId w:val="11"/>
        </w:numPr>
      </w:pPr>
      <w:r w:rsidRPr="007972BA">
        <w:t>Legal Framework</w:t>
      </w:r>
    </w:p>
    <w:p w:rsidR="004B726C" w:rsidP="004B726C" w14:paraId="284EC3B0" w14:textId="77777777">
      <w:pPr>
        <w:pStyle w:val="BodyText"/>
      </w:pPr>
      <w:r w:rsidRPr="007972BA">
        <w:t>The development and implementation of WTO TBT (standards, technical regulation and conformity assessment) Agreement is governed by various statutes, key of which include:</w:t>
      </w:r>
    </w:p>
    <w:p w:rsidR="004B726C" w:rsidP="004B726C" w14:paraId="70B5FCC5" w14:textId="77777777">
      <w:pPr>
        <w:pStyle w:val="BodyText2"/>
      </w:pPr>
      <w:r w:rsidRPr="007972BA">
        <w:t>The Constitution of Kenya 2010</w:t>
      </w:r>
      <w:r w:rsidR="00B42D23">
        <w:t>;</w:t>
      </w:r>
    </w:p>
    <w:p w:rsidR="004B726C" w:rsidP="004B726C" w14:paraId="10AEF67F" w14:textId="77777777">
      <w:pPr>
        <w:pStyle w:val="BodyText2"/>
      </w:pPr>
      <w:r w:rsidRPr="007972BA">
        <w:t>Standards Act (Cap 496</w:t>
      </w:r>
      <w:r w:rsidR="00B42D23">
        <w:t>;</w:t>
      </w:r>
    </w:p>
    <w:p w:rsidR="004B726C" w:rsidP="004B726C" w14:paraId="23333364" w14:textId="77777777">
      <w:pPr>
        <w:pStyle w:val="BodyText2"/>
      </w:pPr>
      <w:r w:rsidRPr="007972BA">
        <w:t>The Kenya Accreditation Services Act (Cap 496A)</w:t>
      </w:r>
      <w:r w:rsidR="00B42D23">
        <w:t>;</w:t>
      </w:r>
    </w:p>
    <w:p w:rsidR="004B726C" w:rsidP="004B726C" w14:paraId="7E474137" w14:textId="77777777">
      <w:pPr>
        <w:pStyle w:val="BodyText2"/>
      </w:pPr>
      <w:r w:rsidRPr="007972BA">
        <w:t>Weights and Measures Act (Cap 513)</w:t>
      </w:r>
      <w:r w:rsidR="00B42D23">
        <w:t>;</w:t>
      </w:r>
    </w:p>
    <w:p w:rsidR="004B726C" w:rsidP="004B726C" w14:paraId="0E9DDC89" w14:textId="77777777">
      <w:pPr>
        <w:pStyle w:val="BodyText2"/>
      </w:pPr>
      <w:r w:rsidRPr="007972BA">
        <w:t>Trade Descriptions Act (Cap 505)</w:t>
      </w:r>
      <w:r w:rsidR="00B42D23">
        <w:t>;</w:t>
      </w:r>
    </w:p>
    <w:p w:rsidR="004B726C" w:rsidP="004B726C" w14:paraId="5922297E" w14:textId="77777777">
      <w:pPr>
        <w:pStyle w:val="BodyText2"/>
      </w:pPr>
      <w:r w:rsidRPr="007972BA">
        <w:t xml:space="preserve">The </w:t>
      </w:r>
      <w:r w:rsidRPr="007972BA">
        <w:t>EAC</w:t>
      </w:r>
      <w:r w:rsidRPr="007972BA">
        <w:t xml:space="preserve"> Standardization, Quality Assurance, Metrology and Testing Act (2006); and</w:t>
      </w:r>
    </w:p>
    <w:p w:rsidR="007972BA" w:rsidRPr="007972BA" w:rsidP="004B726C" w14:paraId="0E9EA9AF" w14:textId="77777777">
      <w:pPr>
        <w:pStyle w:val="BodyText2"/>
      </w:pPr>
      <w:r w:rsidRPr="007972BA">
        <w:t>The Statutory Instruments Act (2013).</w:t>
      </w:r>
    </w:p>
    <w:p w:rsidR="007972BA" w:rsidRPr="007972BA" w:rsidP="00B43726" w14:paraId="77E0490E" w14:textId="77777777">
      <w:pPr>
        <w:pStyle w:val="Heading3"/>
      </w:pPr>
      <w:r w:rsidRPr="00996D7A">
        <w:t>Institutional Framework</w:t>
      </w:r>
    </w:p>
    <w:p w:rsidR="004B726C" w:rsidP="004B726C" w14:paraId="725F9DE9" w14:textId="77777777">
      <w:pPr>
        <w:pStyle w:val="BodyText"/>
      </w:pPr>
      <w:r w:rsidRPr="007972BA">
        <w:t>Guided by the fore mentioned statutes the key institutions that undertake the administration and implementation of WTO TBT Agreement (standards, technical regulation and conformity assessment) in the country include the Kenya Bureau of Standards (KEBS); Kenya Accreditation Services (KENAS); and the Weights and Measures (</w:t>
      </w:r>
      <w:r w:rsidRPr="007972BA">
        <w:t>W&amp;M</w:t>
      </w:r>
      <w:r w:rsidRPr="007972BA">
        <w:t>) Department.</w:t>
      </w:r>
    </w:p>
    <w:p w:rsidR="004B726C" w:rsidP="004B726C" w14:paraId="5939EF5A" w14:textId="77777777">
      <w:pPr>
        <w:pStyle w:val="BodyText"/>
      </w:pPr>
      <w:r w:rsidRPr="007972BA">
        <w:t>KEBS was established by the enactment of the Standards Act (Cap 496) to provide Standardization, Metrology and Conformity Assessment (</w:t>
      </w:r>
      <w:r w:rsidRPr="007972BA">
        <w:t>SMCA</w:t>
      </w:r>
      <w:r w:rsidRPr="007972BA">
        <w:t>) services; KENAS is the national accreditation body for Kenya and derives its mandate from Kenya Accreditation Service Act (Cap 496A) to accredit and exercise oversight over organizations, both private and public, that carry out conformity assessment activities; and the Weights and Measures Department is the legal metrology body in Kenya. The Weights and Measures Department derives its mandate from the Weights and Measures Act (Cap 513) and the Trade Descriptions Act (Cap 505).</w:t>
      </w:r>
    </w:p>
    <w:p w:rsidR="007972BA" w:rsidRPr="007972BA" w:rsidP="004B726C" w14:paraId="1EA02557" w14:textId="77777777">
      <w:pPr>
        <w:pStyle w:val="BodyText"/>
      </w:pPr>
      <w:r w:rsidRPr="007972BA">
        <w:t xml:space="preserve">The State Department for Trade is the National Notification Authority and chairs the </w:t>
      </w:r>
      <w:r w:rsidRPr="004B726C">
        <w:rPr>
          <w:b/>
          <w:bCs/>
        </w:rPr>
        <w:t>National Technical Barriers to Trade (TBT) Committee</w:t>
      </w:r>
      <w:r w:rsidRPr="004B726C">
        <w:rPr>
          <w:b/>
          <w:bCs/>
          <w:i/>
          <w:iCs/>
        </w:rPr>
        <w:t xml:space="preserve"> </w:t>
      </w:r>
      <w:r w:rsidRPr="007972BA">
        <w:t>which</w:t>
      </w:r>
      <w:r w:rsidRPr="004B726C">
        <w:rPr>
          <w:b/>
          <w:bCs/>
        </w:rPr>
        <w:t xml:space="preserve"> </w:t>
      </w:r>
      <w:r w:rsidRPr="007972BA">
        <w:t xml:space="preserve">draws its membership from National Government Ministries, Departments and Agencies (MDAs), council of governors, regulatory authorities and statutory bodies, consumer bodies, business associations and private sector entities, institutions of higher learning, civil society and NGOs. KEBS is the designated National Enquiry Point (NEP) on WTO Technical Barriers to Trade (TBT) and provides Secretariat services to the </w:t>
      </w:r>
      <w:r w:rsidRPr="004B726C">
        <w:rPr>
          <w:b/>
          <w:bCs/>
        </w:rPr>
        <w:t>National TBT Committee</w:t>
      </w:r>
      <w:r w:rsidRPr="004B726C">
        <w:rPr>
          <w:b/>
          <w:bCs/>
          <w:i/>
          <w:iCs/>
        </w:rPr>
        <w:t>.</w:t>
      </w:r>
    </w:p>
    <w:p w:rsidR="007972BA" w:rsidRPr="007972BA" w:rsidP="00B43726" w14:paraId="00C545B0" w14:textId="77777777">
      <w:pPr>
        <w:pStyle w:val="Heading2"/>
      </w:pPr>
      <w:r w:rsidRPr="00996D7A">
        <w:t>ADMINISTRATIVE MECHANISMS AND TRANSPARENCY</w:t>
      </w:r>
    </w:p>
    <w:p w:rsidR="004B726C" w:rsidP="004B726C" w14:paraId="2B0F2491" w14:textId="77777777">
      <w:pPr>
        <w:pStyle w:val="BodyText"/>
      </w:pPr>
      <w:r w:rsidRPr="007972BA">
        <w:rPr>
          <w:b/>
          <w:bCs/>
        </w:rPr>
        <w:t>The State Department for Trade in the</w:t>
      </w:r>
      <w:r w:rsidRPr="007972BA">
        <w:t xml:space="preserve"> </w:t>
      </w:r>
      <w:r w:rsidRPr="007972BA">
        <w:rPr>
          <w:b/>
          <w:bCs/>
        </w:rPr>
        <w:t xml:space="preserve">Ministry of Investments, Trade and Industry, </w:t>
      </w:r>
      <w:r w:rsidRPr="007972BA">
        <w:t xml:space="preserve">is responsible for monitoring the implementation of the WTO Agreements and ensuring that the obligations under these agreements are fulfilled. It also serves as the designated </w:t>
      </w:r>
      <w:r w:rsidRPr="007972BA">
        <w:rPr>
          <w:b/>
          <w:bCs/>
        </w:rPr>
        <w:t>WTO National Notification Authority (NNA)</w:t>
      </w:r>
      <w:r w:rsidRPr="007972BA">
        <w:t xml:space="preserve"> in accordance with Article 10.10 of the WTO TBT Agreement.</w:t>
      </w:r>
    </w:p>
    <w:p w:rsidR="004B726C" w:rsidP="004B726C" w14:paraId="7EFA87EB" w14:textId="77777777">
      <w:pPr>
        <w:pStyle w:val="BodyText"/>
      </w:pPr>
      <w:r w:rsidRPr="007972BA">
        <w:t xml:space="preserve">In accordance with the requirements of the Agreement, the government of the Republic of Kenya has designated the </w:t>
      </w:r>
      <w:r w:rsidRPr="004B726C">
        <w:rPr>
          <w:b/>
          <w:bCs/>
        </w:rPr>
        <w:t>KEBS</w:t>
      </w:r>
      <w:r w:rsidRPr="007972BA">
        <w:t xml:space="preserve"> as the </w:t>
      </w:r>
      <w:r w:rsidRPr="004B726C">
        <w:rPr>
          <w:b/>
          <w:bCs/>
        </w:rPr>
        <w:t>National Enquiry Point (NEP)</w:t>
      </w:r>
      <w:r w:rsidRPr="007972BA">
        <w:t xml:space="preserve"> for </w:t>
      </w:r>
      <w:r w:rsidRPr="004B726C">
        <w:rPr>
          <w:b/>
          <w:bCs/>
        </w:rPr>
        <w:t>Technical Barriers to Trade (TBT).</w:t>
      </w:r>
      <w:r w:rsidRPr="007972BA">
        <w:t xml:space="preserve"> This designation ensures transparency and facilitates effective communication with WTO Members regarding proposed Kenyan domestic technical regulations, standards, and conformity assessment procedures, in compliance with Articles 2, 3, 5, and 10 of the WTO TBT Agreement through:</w:t>
      </w:r>
    </w:p>
    <w:p w:rsidR="004B726C" w:rsidP="004B726C" w14:paraId="6C3D4561" w14:textId="77777777">
      <w:pPr>
        <w:pStyle w:val="BodyText2"/>
      </w:pPr>
      <w:r w:rsidRPr="007972BA">
        <w:t>Responding to enquiries on TBT matters originating from stakeholders /trading partners</w:t>
      </w:r>
      <w:r w:rsidR="00B42D23">
        <w:t>;</w:t>
      </w:r>
    </w:p>
    <w:p w:rsidR="004B726C" w:rsidP="004B726C" w14:paraId="059B9E57" w14:textId="77777777">
      <w:pPr>
        <w:pStyle w:val="BodyText2"/>
      </w:pPr>
      <w:r w:rsidRPr="007972BA">
        <w:t xml:space="preserve">Preparing and </w:t>
      </w:r>
      <w:r w:rsidRPr="007972BA">
        <w:t>analyzing</w:t>
      </w:r>
      <w:r w:rsidRPr="007972BA">
        <w:t xml:space="preserve"> TBT notifications for submission</w:t>
      </w:r>
      <w:r w:rsidR="00B42D23">
        <w:t>;</w:t>
      </w:r>
    </w:p>
    <w:p w:rsidR="004B726C" w:rsidP="004B726C" w14:paraId="3E162C13" w14:textId="77777777">
      <w:pPr>
        <w:pStyle w:val="BodyText2"/>
      </w:pPr>
      <w:r w:rsidRPr="007972BA">
        <w:t>Organizing and coordinating National TBT Committee activities</w:t>
      </w:r>
      <w:r w:rsidR="00B42D23">
        <w:t>;</w:t>
      </w:r>
    </w:p>
    <w:p w:rsidR="004B726C" w:rsidP="004B726C" w14:paraId="73A59EC7" w14:textId="77777777">
      <w:pPr>
        <w:pStyle w:val="BodyText2"/>
      </w:pPr>
      <w:r w:rsidRPr="007972BA">
        <w:t>Preparing TBT related documentation</w:t>
      </w:r>
      <w:r w:rsidR="00B42D23">
        <w:t>;</w:t>
      </w:r>
    </w:p>
    <w:p w:rsidR="004B726C" w:rsidP="004B726C" w14:paraId="33C93C3E" w14:textId="77777777">
      <w:pPr>
        <w:pStyle w:val="BodyText2"/>
      </w:pPr>
      <w:r w:rsidRPr="007972BA">
        <w:t>Coordinating TBT Sub-Committees and Working Groups</w:t>
      </w:r>
      <w:r w:rsidR="00B42D23">
        <w:t>;</w:t>
      </w:r>
    </w:p>
    <w:p w:rsidR="004B726C" w:rsidP="004B726C" w14:paraId="4A18EB6B" w14:textId="77777777">
      <w:pPr>
        <w:pStyle w:val="BodyText2"/>
      </w:pPr>
      <w:r w:rsidRPr="007972BA">
        <w:t>Disseminating information on TBT issues among the stakeholders</w:t>
      </w:r>
      <w:r w:rsidR="00B42D23">
        <w:t>;</w:t>
      </w:r>
    </w:p>
    <w:p w:rsidR="004B726C" w:rsidP="004B726C" w14:paraId="390C39FE" w14:textId="77777777">
      <w:pPr>
        <w:pStyle w:val="BodyText2"/>
      </w:pPr>
      <w:r w:rsidRPr="007972BA">
        <w:t>Coordinating public awareness of matters related to TBT</w:t>
      </w:r>
      <w:r w:rsidR="00B42D23">
        <w:t>;</w:t>
      </w:r>
    </w:p>
    <w:p w:rsidR="004B726C" w:rsidP="004B726C" w14:paraId="2519A21D" w14:textId="77777777">
      <w:pPr>
        <w:pStyle w:val="BodyText2"/>
      </w:pPr>
      <w:r w:rsidRPr="007972BA">
        <w:t>Follow up on TBT related decisions</w:t>
      </w:r>
      <w:r w:rsidR="00B42D23">
        <w:t>; and</w:t>
      </w:r>
    </w:p>
    <w:p w:rsidR="004B726C" w:rsidP="004B726C" w14:paraId="636CE808" w14:textId="77777777">
      <w:pPr>
        <w:pStyle w:val="BodyText2"/>
      </w:pPr>
      <w:r w:rsidRPr="007972BA">
        <w:t>Mobilizing resources for the National TBT Committee activities.</w:t>
      </w:r>
    </w:p>
    <w:p w:rsidR="007972BA" w:rsidRPr="007972BA" w:rsidP="004B726C" w14:paraId="640E6F45" w14:textId="77777777">
      <w:pPr>
        <w:pStyle w:val="BodyText"/>
      </w:pPr>
      <w:r w:rsidRPr="007972BA">
        <w:t>KEBS is a statutory body of government, established by the Standards Act (CAP 496) Laws of Kenya, and is mandated to provide for the preparation and promotion of standards in relation to goods, services, processes and practices. The implementation and administration of the WTO Agreement on Technical Barriers to Trade is therefore supported by the Standards Act (CAP 496) Laws of Kenya.</w:t>
      </w:r>
    </w:p>
    <w:p w:rsidR="004B726C" w:rsidP="004B726C" w14:paraId="18CF8748" w14:textId="77777777">
      <w:pPr>
        <w:pStyle w:val="BodyText"/>
      </w:pPr>
      <w:r w:rsidRPr="004B726C">
        <w:rPr>
          <w:b/>
          <w:bCs/>
        </w:rPr>
        <w:t>The Mandate of KEBS includes</w:t>
      </w:r>
      <w:r w:rsidRPr="007972BA">
        <w:t>:</w:t>
      </w:r>
    </w:p>
    <w:p w:rsidR="004B726C" w:rsidP="004B726C" w14:paraId="6C858722" w14:textId="77777777">
      <w:pPr>
        <w:pStyle w:val="BodyText2"/>
      </w:pPr>
      <w:r w:rsidRPr="007972BA">
        <w:t>Standards Development and harmonization</w:t>
      </w:r>
      <w:r w:rsidR="00B42D23">
        <w:t>;</w:t>
      </w:r>
    </w:p>
    <w:p w:rsidR="004B726C" w:rsidP="004B726C" w14:paraId="599E031C" w14:textId="77777777">
      <w:pPr>
        <w:pStyle w:val="BodyText2"/>
      </w:pPr>
      <w:r w:rsidRPr="007972BA">
        <w:t>Promotion of standardization in Commerce and Industry</w:t>
      </w:r>
      <w:r w:rsidR="00B42D23">
        <w:t>;</w:t>
      </w:r>
    </w:p>
    <w:p w:rsidR="004B726C" w:rsidP="004B726C" w14:paraId="1DEA2868" w14:textId="77777777">
      <w:pPr>
        <w:pStyle w:val="BodyText2"/>
      </w:pPr>
      <w:r w:rsidRPr="007972BA">
        <w:t>Provision of testing and calibration services</w:t>
      </w:r>
      <w:r w:rsidR="00B42D23">
        <w:t>;</w:t>
      </w:r>
    </w:p>
    <w:p w:rsidR="004B726C" w:rsidP="004B726C" w14:paraId="3B1CF273" w14:textId="77777777">
      <w:pPr>
        <w:pStyle w:val="BodyText2"/>
      </w:pPr>
      <w:r w:rsidRPr="007972BA">
        <w:t>Undertaking education work in standardization, metrology and conformity assessment and practical application of standards</w:t>
      </w:r>
      <w:r w:rsidR="00B42D23">
        <w:t>;</w:t>
      </w:r>
    </w:p>
    <w:p w:rsidR="004B726C" w:rsidP="004B726C" w14:paraId="608E095B" w14:textId="77777777">
      <w:pPr>
        <w:pStyle w:val="BodyText2"/>
      </w:pPr>
      <w:r w:rsidRPr="007972BA">
        <w:t>Product and system certification</w:t>
      </w:r>
      <w:r w:rsidR="00B42D23">
        <w:t>;</w:t>
      </w:r>
    </w:p>
    <w:p w:rsidR="004B726C" w:rsidP="004B726C" w14:paraId="4409D142" w14:textId="77777777">
      <w:pPr>
        <w:pStyle w:val="BodyText2"/>
      </w:pPr>
      <w:r w:rsidRPr="007972BA">
        <w:t>Enforcement of standards – Inspection and Market Surveillance</w:t>
      </w:r>
      <w:r w:rsidR="00B42D23">
        <w:t>;</w:t>
      </w:r>
    </w:p>
    <w:p w:rsidR="004B726C" w:rsidP="004B726C" w14:paraId="47ADABB7" w14:textId="77777777">
      <w:pPr>
        <w:pStyle w:val="BodyText2"/>
      </w:pPr>
      <w:r w:rsidRPr="007972BA">
        <w:t>Dissemination of standards information through standards information centre</w:t>
      </w:r>
      <w:r w:rsidR="00B42D23">
        <w:t>; and</w:t>
      </w:r>
    </w:p>
    <w:p w:rsidR="007972BA" w:rsidRPr="007972BA" w:rsidP="004B726C" w14:paraId="6CA1640B" w14:textId="77777777">
      <w:pPr>
        <w:pStyle w:val="BodyText2"/>
      </w:pPr>
      <w:r w:rsidRPr="007972BA">
        <w:t>Provision of information on standards, technical regulations on conformity assessment procedures through the WTO TBT National Enquiry Point</w:t>
      </w:r>
      <w:r w:rsidR="00B42D23">
        <w:t>.</w:t>
      </w:r>
    </w:p>
    <w:p w:rsidR="007972BA" w:rsidRPr="007972BA" w:rsidP="00BF16A2" w14:paraId="0687EEAA" w14:textId="77777777">
      <w:pPr>
        <w:pStyle w:val="Heading3"/>
        <w:numPr>
          <w:ilvl w:val="2"/>
          <w:numId w:val="12"/>
        </w:numPr>
      </w:pPr>
      <w:r w:rsidRPr="007972BA">
        <w:t>Code of Good Practice</w:t>
      </w:r>
    </w:p>
    <w:p w:rsidR="004B726C" w:rsidP="004B726C" w14:paraId="27DB9C31" w14:textId="77777777">
      <w:pPr>
        <w:pStyle w:val="BodyText"/>
      </w:pPr>
      <w:r w:rsidRPr="007972BA">
        <w:t>KEBS has accepted the Code of Good Practice for the Preparation, Adoption and Application of Standards, Annex 3 to the WTO TBT Agreement (</w:t>
      </w:r>
      <w:hyperlink r:id="rId9" w:history="1">
        <w:r w:rsidRPr="00B864A2" w:rsidR="007972BA">
          <w:rPr>
            <w:rStyle w:val="Hyperlink"/>
          </w:rPr>
          <w:t>G/TBT/CS/N/24)</w:t>
        </w:r>
      </w:hyperlink>
      <w:r w:rsidRPr="007972BA">
        <w:t>.</w:t>
      </w:r>
    </w:p>
    <w:p w:rsidR="004B726C" w:rsidP="004B726C" w14:paraId="2F03D2A0" w14:textId="77777777">
      <w:pPr>
        <w:pStyle w:val="BodyText"/>
      </w:pPr>
      <w:r w:rsidRPr="007972BA">
        <w:t>Notices of all proposed standards are published in the KEBS Standards Work Programme Bulletin (issued bi-annually).</w:t>
      </w:r>
    </w:p>
    <w:p w:rsidR="007972BA" w:rsidRPr="007972BA" w:rsidP="004B726C" w14:paraId="40B42143" w14:textId="77777777">
      <w:pPr>
        <w:pStyle w:val="BodyText"/>
      </w:pPr>
      <w:r w:rsidRPr="007972BA">
        <w:t>Draft Standards ready for public review are notified to the WTO Secretariat and all interested persons</w:t>
      </w:r>
      <w:r w:rsidR="004B726C">
        <w:t xml:space="preserve"> </w:t>
      </w:r>
      <w:r w:rsidRPr="007972BA">
        <w:t>are given a period of 60 (sixty)</w:t>
      </w:r>
      <w:r w:rsidR="00B42D23">
        <w:t xml:space="preserve"> </w:t>
      </w:r>
      <w:r w:rsidRPr="007972BA">
        <w:t>days to make written comments on Kenya's Notifications under Articles 2.9.4 and 5.6.4 of the Agreement.</w:t>
      </w:r>
    </w:p>
    <w:p w:rsidR="004B726C" w:rsidP="004B726C" w14:paraId="596CD8B6" w14:textId="77777777">
      <w:pPr>
        <w:pStyle w:val="Heading3"/>
      </w:pPr>
      <w:r w:rsidRPr="007972BA">
        <w:t>Certification and Inspection</w:t>
      </w:r>
    </w:p>
    <w:p w:rsidR="007972BA" w:rsidRPr="007972BA" w:rsidP="004B726C" w14:paraId="3FC2A1FF" w14:textId="77777777">
      <w:pPr>
        <w:pStyle w:val="Heading4"/>
      </w:pPr>
      <w:r w:rsidRPr="004B726C">
        <w:t>Certification</w:t>
      </w:r>
    </w:p>
    <w:p w:rsidR="007972BA" w:rsidRPr="007972BA" w:rsidP="004B726C" w14:paraId="28CD9259" w14:textId="77777777">
      <w:pPr>
        <w:pStyle w:val="BodyText"/>
      </w:pPr>
      <w:r w:rsidRPr="007972BA">
        <w:t xml:space="preserve">Certification covers management </w:t>
      </w:r>
      <w:r w:rsidR="00B42D23">
        <w:t>s</w:t>
      </w:r>
      <w:r w:rsidRPr="007972BA">
        <w:t>ystems, products, processes &amp; services and persons and is undertaken by both public and private institutions. These include quality marks, safety marks, compliance marks and fortification marks.</w:t>
      </w:r>
    </w:p>
    <w:p w:rsidR="007972BA" w:rsidRPr="007972BA" w:rsidP="004B726C" w14:paraId="71742A95" w14:textId="77777777">
      <w:pPr>
        <w:pStyle w:val="BodyText"/>
      </w:pPr>
      <w:r w:rsidRPr="007972BA">
        <w:t xml:space="preserve">Certification in Kenya is undertaken by an independent body (third-party) and is related to an object of conformity assessment which includes a product, process, service, system, installation, project, data, design, material, claim, person, body or organization, or any combination thereof. Certification is undertaken by conformity assessment bodies that may be public or private and whose formal demonstration of competence is provided through implementation of the requirements of a standard or accreditation </w:t>
      </w:r>
      <w:r w:rsidRPr="007972BA">
        <w:t>by an accreditation body that is legally mandated or recognized to do so</w:t>
      </w:r>
      <w:r w:rsidRPr="007972BA">
        <w:rPr>
          <w:b/>
          <w:bCs/>
        </w:rPr>
        <w:t>.</w:t>
      </w:r>
    </w:p>
    <w:p w:rsidR="007972BA" w:rsidRPr="007972BA" w:rsidP="004B726C" w14:paraId="1092968F" w14:textId="77777777">
      <w:pPr>
        <w:pStyle w:val="Heading4"/>
      </w:pPr>
      <w:r w:rsidRPr="007972BA">
        <w:t>Inspection</w:t>
      </w:r>
    </w:p>
    <w:p w:rsidR="007972BA" w:rsidRPr="007972BA" w:rsidP="004B726C" w14:paraId="62A6AC50" w14:textId="77777777">
      <w:pPr>
        <w:pStyle w:val="BodyText"/>
      </w:pPr>
      <w:r w:rsidRPr="007972BA">
        <w:t>Inspection in Kenya is carried out by both public and private institutions. Inspection for purposes of regulatory and legal compliance is carried out by various government institutions in line with their mandate.</w:t>
      </w:r>
    </w:p>
    <w:p w:rsidR="007972BA" w:rsidRPr="007972BA" w:rsidP="004B726C" w14:paraId="2F2D5407" w14:textId="77777777">
      <w:pPr>
        <w:pStyle w:val="BodyText"/>
      </w:pPr>
      <w:r w:rsidRPr="007972BA">
        <w:t>Inspection applies across all sectors of the economy and to imports in verification of conformance. The Quality Policy through Mutual Recognition Agreements accruing from internationally recognized accreditation will create an environment enabling reciprocity of inspection outcomes for trade facilitation as well as recognition and regulatory acceptance of inspection outcomes from accredited and designated inspection bodies.</w:t>
      </w:r>
    </w:p>
    <w:p w:rsidR="007972BA" w:rsidRPr="007972BA" w:rsidP="004B726C" w14:paraId="78FD57A6" w14:textId="77777777">
      <w:pPr>
        <w:pStyle w:val="Heading3"/>
      </w:pPr>
      <w:r w:rsidRPr="007972BA">
        <w:t>Metrology</w:t>
      </w:r>
    </w:p>
    <w:p w:rsidR="007972BA" w:rsidRPr="007972BA" w:rsidP="004B726C" w14:paraId="2A18639B" w14:textId="77777777">
      <w:pPr>
        <w:pStyle w:val="BodyText"/>
      </w:pPr>
      <w:r w:rsidRPr="007972BA">
        <w:t>Metrology is divided into three disciplines: scientific metrology, industrial metrology, and legal metrology. Scientific and industrial metrology is guided by the Standards Act (Cap 496) while legal metrology is guided by the Weights and Measures Act (Cap 513), and Trade Descriptions Act (Cap 505). Confidence in national measurement is assured by the National Metrology Institute (NMI) under KEBS and Department of Weights and Measures. The disciplines are highlighted below:</w:t>
      </w:r>
    </w:p>
    <w:p w:rsidR="007972BA" w:rsidRPr="007972BA" w:rsidP="00BF16A2" w14:paraId="04B20528" w14:textId="77777777">
      <w:pPr>
        <w:pStyle w:val="Heading4"/>
        <w:numPr>
          <w:ilvl w:val="3"/>
          <w:numId w:val="13"/>
        </w:numPr>
      </w:pPr>
      <w:r w:rsidRPr="007972BA">
        <w:t>Scientific and industrial metrology</w:t>
      </w:r>
    </w:p>
    <w:p w:rsidR="007972BA" w:rsidRPr="007972BA" w:rsidP="004B726C" w14:paraId="3C7C8CD3" w14:textId="77777777">
      <w:pPr>
        <w:pStyle w:val="BodyText"/>
      </w:pPr>
      <w:r w:rsidRPr="007972BA">
        <w:t xml:space="preserve">Industrial metrology concerns the application of measurement science to manufacturing and other processes and their use in society, ensuring the suitability of measurement instruments, their calibration and quality control of measurements. KEBS is the designated National Metrology Institute (NMI) responsible for scientific and industrial metrology guided by the Standards Act (CAP 496) Laws of Kenya. For scientific metrology, the organization provides leadership and direction in the national traceability of </w:t>
      </w:r>
      <w:r w:rsidRPr="007972BA">
        <w:t>measurements to the International System of Units (SI).</w:t>
      </w:r>
    </w:p>
    <w:p w:rsidR="007972BA" w:rsidRPr="007972BA" w:rsidP="004B726C" w14:paraId="11334476" w14:textId="77777777">
      <w:pPr>
        <w:pStyle w:val="Heading4"/>
      </w:pPr>
      <w:r w:rsidRPr="007972BA">
        <w:t xml:space="preserve">Legal metrology </w:t>
      </w:r>
    </w:p>
    <w:p w:rsidR="007972BA" w:rsidRPr="007972BA" w:rsidP="004B726C" w14:paraId="76D6131E" w14:textId="77777777">
      <w:pPr>
        <w:pStyle w:val="BodyText"/>
      </w:pPr>
      <w:r w:rsidRPr="007972BA">
        <w:t>Legal Metrology is undertaken by the Weights and Measures Department under the Ministry of Investments, Trade and Industry. The Department derives its mandate from the Weights and Measures Act (Cap 513) Laws of Kenya and the Trade Descriptions Act (Cap 505) Laws of Kenya.</w:t>
      </w:r>
    </w:p>
    <w:p w:rsidR="007972BA" w:rsidRPr="007972BA" w:rsidP="004B726C" w14:paraId="0DA86534" w14:textId="77777777">
      <w:pPr>
        <w:pStyle w:val="Heading3"/>
      </w:pPr>
      <w:r w:rsidRPr="007972BA">
        <w:t>Accreditation</w:t>
      </w:r>
    </w:p>
    <w:p w:rsidR="007972BA" w:rsidRPr="007972BA" w:rsidP="004B726C" w14:paraId="103F46BF" w14:textId="77777777">
      <w:pPr>
        <w:pStyle w:val="BodyText"/>
      </w:pPr>
      <w:r w:rsidRPr="007972BA">
        <w:t xml:space="preserve">The </w:t>
      </w:r>
      <w:r w:rsidRPr="007972BA">
        <w:rPr>
          <w:b/>
          <w:bCs/>
        </w:rPr>
        <w:t xml:space="preserve">Kenya Accreditation Service (KENAS) </w:t>
      </w:r>
      <w:r w:rsidRPr="007972BA">
        <w:t>is</w:t>
      </w:r>
      <w:r w:rsidRPr="007972BA">
        <w:rPr>
          <w:b/>
          <w:bCs/>
        </w:rPr>
        <w:t xml:space="preserve"> </w:t>
      </w:r>
      <w:r w:rsidRPr="007972BA">
        <w:t>the sole National Accreditation Body (NAB) mandated to offer accreditation services in Kenya. It is established through the Kenya Accreditation Service Act (Cap 496A).</w:t>
      </w:r>
    </w:p>
    <w:p w:rsidR="007972BA" w:rsidRPr="007972BA" w:rsidP="004B726C" w14:paraId="6689D278" w14:textId="77777777">
      <w:pPr>
        <w:pStyle w:val="BodyText"/>
      </w:pPr>
      <w:r w:rsidRPr="007972BA">
        <w:rPr>
          <w:b/>
          <w:bCs/>
        </w:rPr>
        <w:t>KENAS</w:t>
      </w:r>
      <w:r w:rsidRPr="007972BA">
        <w:t xml:space="preserve"> plays a central role in implementing the WTO TBT Agreement by accrediting Conformity Assessment Bodies (CABs), including testing, medical and calibration laboratories, certification bodies, proficiency testing providers, biobanking facilities, validation and verification bodies and inspection bodies in line with the International Laboratory Accreditation Cooperation (</w:t>
      </w:r>
      <w:r w:rsidRPr="007972BA">
        <w:t>ILAC</w:t>
      </w:r>
      <w:r w:rsidRPr="007972BA">
        <w:t>) Mutual Recognition Agreement (</w:t>
      </w:r>
      <w:r w:rsidRPr="007972BA">
        <w:t>MRA</w:t>
      </w:r>
      <w:r w:rsidRPr="007972BA">
        <w:t>), International Accreditation Forum (</w:t>
      </w:r>
      <w:r w:rsidRPr="007972BA">
        <w:t>IAF</w:t>
      </w:r>
      <w:r w:rsidRPr="007972BA">
        <w:t>) Multilateral Recognition Arrangement (MLA) and African Accr</w:t>
      </w:r>
      <w:r w:rsidRPr="007972BA">
        <w:t>editation Cooperation (</w:t>
      </w:r>
      <w:r w:rsidRPr="007972BA">
        <w:t>AFRAC</w:t>
      </w:r>
      <w:r w:rsidRPr="007972BA">
        <w:t xml:space="preserve">) </w:t>
      </w:r>
      <w:r w:rsidRPr="007972BA">
        <w:t>MRA</w:t>
      </w:r>
      <w:r w:rsidRPr="007972BA">
        <w:t>. This ensures that such bodies operate in accordance with international standards.</w:t>
      </w:r>
    </w:p>
    <w:p w:rsidR="007972BA" w:rsidRPr="007972BA" w:rsidP="004B726C" w14:paraId="505C3191" w14:textId="77777777">
      <w:pPr>
        <w:pStyle w:val="BodyText"/>
      </w:pPr>
      <w:r w:rsidRPr="007972BA">
        <w:t>KENAS is a signatory member of the International Accreditation Forum (</w:t>
      </w:r>
      <w:r w:rsidRPr="007972BA">
        <w:t>IAF</w:t>
      </w:r>
      <w:r w:rsidRPr="007972BA">
        <w:t>), the International Laboratory cooperation (</w:t>
      </w:r>
      <w:r w:rsidRPr="007972BA">
        <w:t>ILAC</w:t>
      </w:r>
      <w:r w:rsidRPr="007972BA">
        <w:t>) and African Accreditation Cooperation (</w:t>
      </w:r>
      <w:r w:rsidRPr="007972BA">
        <w:t>AFRAC</w:t>
      </w:r>
      <w:r w:rsidRPr="007972BA">
        <w:t>).</w:t>
      </w:r>
    </w:p>
    <w:p w:rsidR="007E447B" w:rsidP="00D92221" w14:paraId="7BE657B2" w14:textId="77777777">
      <w:pPr>
        <w:pStyle w:val="Heading1"/>
      </w:pPr>
      <w:r w:rsidRPr="009129D0">
        <w:t>PUBLICATION OF</w:t>
      </w:r>
      <w:r w:rsidR="003D0750">
        <w:t xml:space="preserve"> A NOTICE</w:t>
      </w:r>
    </w:p>
    <w:p w:rsidR="007E447B" w:rsidRPr="00686480" w:rsidP="004B726C" w14:paraId="4EBF4791" w14:textId="77777777">
      <w:pPr>
        <w:pStyle w:val="BodyText"/>
      </w:pPr>
      <w:r w:rsidRPr="00686480">
        <w:t xml:space="preserve">All related information on draft standards, technical regulations and conformity assessment procedures is published as Legal notices in the Kenya Gazette and can be accessed at: </w:t>
      </w:r>
      <w:hyperlink r:id="rId10" w:history="1">
        <w:r w:rsidRPr="00686480">
          <w:rPr>
            <w:color w:val="0000FF"/>
            <w:u w:val="single"/>
          </w:rPr>
          <w:t>https://KenyaLaw.org</w:t>
        </w:r>
      </w:hyperlink>
      <w:r w:rsidRPr="00686480">
        <w:t xml:space="preserve">, </w:t>
      </w:r>
      <w:hyperlink r:id="rId11" w:history="1">
        <w:r w:rsidRPr="00686480">
          <w:rPr>
            <w:color w:val="0000FF"/>
            <w:u w:val="single"/>
          </w:rPr>
          <w:t>https://www.mygov.go.ke</w:t>
        </w:r>
      </w:hyperlink>
      <w:r w:rsidRPr="00686480">
        <w:t xml:space="preserve"> and websites of relevant regulatory agencies.</w:t>
      </w:r>
    </w:p>
    <w:p w:rsidR="00686480" w:rsidRPr="00686480" w:rsidP="00D92221" w14:paraId="1B2961EA" w14:textId="77777777">
      <w:pPr>
        <w:pStyle w:val="Heading1"/>
        <w:rPr>
          <w:w w:val="105"/>
        </w:rPr>
      </w:pPr>
      <w:r w:rsidRPr="009129D0">
        <w:rPr>
          <w:w w:val="105"/>
        </w:rPr>
        <w:t>COMMENT</w:t>
      </w:r>
      <w:r w:rsidR="003D0750">
        <w:rPr>
          <w:w w:val="105"/>
        </w:rPr>
        <w:t>S</w:t>
      </w:r>
    </w:p>
    <w:p w:rsidR="003D0750" w:rsidP="004B726C" w14:paraId="1D9E187D" w14:textId="77777777">
      <w:pPr>
        <w:pStyle w:val="BodyText"/>
      </w:pPr>
      <w:r>
        <w:t>In compliance with the WTO TBT Agreement, the government of Kenya provides opportunities for stakeholders to submit written comments on proposed draft standards and conformity assessment procedures while technical regulations are handled as per the Statutory Instruments Act (2013).</w:t>
      </w:r>
    </w:p>
    <w:p w:rsidR="003D0750" w:rsidP="004B726C" w14:paraId="551E3C04" w14:textId="77777777">
      <w:pPr>
        <w:pStyle w:val="BodyText"/>
      </w:pPr>
      <w:r>
        <w:t>Technical regulations are developed by relevant Government Ministries based on their respective mandates, while ensuring stakeholder participation, including at the National, Regional and international level Comments on technical regulations are submitted as per the Statutory Instruments Act. (2013).</w:t>
      </w:r>
    </w:p>
    <w:p w:rsidR="003D0750" w:rsidP="004B726C" w14:paraId="03F13FAC" w14:textId="77777777">
      <w:pPr>
        <w:pStyle w:val="BodyText"/>
      </w:pPr>
      <w:r>
        <w:t xml:space="preserve">Unless urgent circumstances warrant shorter timelines (as allowed under Article 2.10), Kenya ensures that a </w:t>
      </w:r>
      <w:r>
        <w:rPr>
          <w:b/>
          <w:bCs/>
        </w:rPr>
        <w:t>minimum comment period of 60 days</w:t>
      </w:r>
      <w:r>
        <w:t xml:space="preserve"> is provided for stakeholders to submit written feedback on proposed standards and conformity assessment procedures.</w:t>
      </w:r>
    </w:p>
    <w:p w:rsidR="003D0750" w:rsidP="003D0750" w14:paraId="59245145" w14:textId="77777777">
      <w:pPr>
        <w:spacing w:before="120" w:after="120"/>
      </w:pPr>
      <w:r>
        <w:rPr>
          <w:b/>
          <w:bCs/>
        </w:rPr>
        <w:t>Submission of comments</w:t>
      </w:r>
    </w:p>
    <w:p w:rsidR="003D0750" w:rsidP="003D0750" w14:paraId="614EAF36" w14:textId="77777777">
      <w:pPr>
        <w:spacing w:before="120" w:after="120"/>
      </w:pPr>
      <w:r>
        <w:t>Stakeholders are encouraged to submit comments through the following platforms:</w:t>
      </w:r>
      <w:r>
        <w:rPr>
          <w:b/>
          <w:bCs/>
        </w:rPr>
        <w:t xml:space="preserve"> </w:t>
      </w:r>
    </w:p>
    <w:p w:rsidR="003D0750" w:rsidP="003D0750" w14:paraId="22A4A115" w14:textId="77777777">
      <w:pPr>
        <w:spacing w:before="120" w:after="120"/>
      </w:pPr>
      <w:r>
        <w:rPr>
          <w:b/>
          <w:bCs/>
        </w:rPr>
        <w:t xml:space="preserve">Email submissions to the: </w:t>
      </w:r>
    </w:p>
    <w:p w:rsidR="003D0750" w:rsidP="003D0750" w14:paraId="20C45CC7" w14:textId="77777777">
      <w:pPr>
        <w:spacing w:before="120" w:after="120"/>
      </w:pPr>
      <w:r>
        <w:rPr>
          <w:b/>
          <w:bCs/>
        </w:rPr>
        <w:t>a. National Notification Authority (NNA)</w:t>
      </w:r>
    </w:p>
    <w:p w:rsidR="003D0750" w:rsidP="003D0750" w14:paraId="2827EFF9" w14:textId="77777777">
      <w:pPr>
        <w:spacing w:before="120" w:after="120"/>
      </w:pPr>
      <w:r>
        <w:t xml:space="preserve">Email address: </w:t>
      </w:r>
      <w:hyperlink r:id="rId12" w:history="1">
        <w:r>
          <w:rPr>
            <w:color w:val="0000FF"/>
            <w:u w:val="single"/>
          </w:rPr>
          <w:t>psfortrade@trade.go.ke</w:t>
        </w:r>
      </w:hyperlink>
      <w:r>
        <w:t xml:space="preserve"> </w:t>
      </w:r>
    </w:p>
    <w:p w:rsidR="004B726C" w:rsidP="00B42D23" w14:paraId="1F2DE758" w14:textId="77777777">
      <w:pPr>
        <w:spacing w:before="120" w:after="120"/>
        <w:rPr>
          <w:b/>
          <w:bCs/>
        </w:rPr>
      </w:pPr>
      <w:r>
        <w:rPr>
          <w:b/>
          <w:bCs/>
        </w:rPr>
        <w:t>b. TBT National Enquiry Point</w:t>
      </w:r>
    </w:p>
    <w:p w:rsidR="003D0750" w:rsidRPr="00B42D23" w:rsidP="003D0750" w14:paraId="3F10E42D" w14:textId="77777777">
      <w:pPr>
        <w:spacing w:before="120" w:after="240"/>
      </w:pPr>
      <w:r>
        <w:t xml:space="preserve">Email address: </w:t>
      </w:r>
      <w:hyperlink r:id="rId13" w:history="1">
        <w:r w:rsidRPr="00B42D23">
          <w:rPr>
            <w:color w:val="0000FF"/>
            <w:u w:val="single"/>
          </w:rPr>
          <w:t>info@kebs.org</w:t>
        </w:r>
      </w:hyperlink>
    </w:p>
    <w:p w:rsidR="003D0750" w:rsidP="00D92221" w14:paraId="060E5796" w14:textId="77777777">
      <w:pPr>
        <w:pStyle w:val="Heading1"/>
      </w:pPr>
      <w:r w:rsidRPr="009129D0">
        <w:t>PUBLICATION OF FINAL</w:t>
      </w:r>
      <w:r>
        <w:t xml:space="preserve"> TEXTS</w:t>
      </w:r>
    </w:p>
    <w:p w:rsidR="004B726C" w:rsidP="004B726C" w14:paraId="6F42C2AC" w14:textId="77777777">
      <w:pPr>
        <w:pStyle w:val="BodyText"/>
      </w:pPr>
      <w:r w:rsidRPr="00686480">
        <w:t>In compliance with Kenya's obligations under the World Trade Organization (WTO) Agreement on Technical Barriers to Trade (TBT Agreement)</w:t>
      </w:r>
      <w:r>
        <w:t>:</w:t>
      </w:r>
    </w:p>
    <w:p w:rsidR="004B726C" w:rsidP="004B726C" w14:paraId="6F332EA0" w14:textId="77777777">
      <w:pPr>
        <w:pStyle w:val="BodyText2"/>
      </w:pPr>
      <w:r w:rsidRPr="00686480">
        <w:t xml:space="preserve">Final texts of standards are available on: </w:t>
      </w:r>
      <w:hyperlink r:id="rId14" w:history="1">
        <w:r w:rsidRPr="004B726C" w:rsidR="003D0750">
          <w:rPr>
            <w:color w:val="0000FF"/>
            <w:u w:val="single"/>
          </w:rPr>
          <w:t>https://webstore.kebs.org</w:t>
        </w:r>
      </w:hyperlink>
      <w:r w:rsidRPr="00686480">
        <w:t xml:space="preserve"> at a basic fee.</w:t>
      </w:r>
    </w:p>
    <w:p w:rsidR="003D0750" w:rsidRPr="00686480" w:rsidP="004B726C" w14:paraId="1990B0EE" w14:textId="77777777">
      <w:pPr>
        <w:pStyle w:val="BodyText2"/>
      </w:pPr>
      <w:r w:rsidRPr="00686480">
        <w:t>Final texts of technical regulations and conformity assessment procedures are published in the Kenya Gazette and are publicly available through the relevant regulatory agencies' websites.</w:t>
      </w:r>
    </w:p>
    <w:p w:rsidR="00195DA8" w:rsidP="00D92221" w14:paraId="5EE0573A" w14:textId="77777777">
      <w:pPr>
        <w:pStyle w:val="Heading1"/>
      </w:pPr>
      <w:bookmarkStart w:id="0" w:name="_Hlk152148747"/>
      <w:r>
        <w:t>CONTACT INFORMATION</w:t>
      </w:r>
      <w:r>
        <w:rPr>
          <w:rStyle w:val="FootnoteReference"/>
        </w:rPr>
        <w:footnoteReference w:id="2"/>
      </w:r>
    </w:p>
    <w:p w:rsidR="00686480" w:rsidRPr="008B7F72" w:rsidP="006C3955" w14:paraId="5F7F31D2" w14:textId="77777777">
      <w:pPr>
        <w:tabs>
          <w:tab w:val="left" w:pos="3060"/>
        </w:tabs>
        <w:spacing w:after="120"/>
        <w:rPr>
          <w:b/>
          <w:bCs/>
        </w:rPr>
      </w:pPr>
      <w:r w:rsidRPr="008B7F72">
        <w:rPr>
          <w:b/>
          <w:bCs/>
        </w:rPr>
        <w:t>(</w:t>
      </w:r>
      <w:r w:rsidRPr="008B7F72">
        <w:rPr>
          <w:b/>
          <w:bCs/>
        </w:rPr>
        <w:t>i</w:t>
      </w:r>
      <w:r w:rsidRPr="008B7F72">
        <w:rPr>
          <w:b/>
          <w:bCs/>
        </w:rPr>
        <w:t>) Enquiry Point(s)</w:t>
      </w:r>
    </w:p>
    <w:p w:rsidR="004A266B" w:rsidRPr="00686480" w:rsidP="00996D7A" w14:paraId="2DA738C1" w14:textId="77777777">
      <w:pPr>
        <w:jc w:val="left"/>
      </w:pPr>
      <w:r w:rsidRPr="00686480">
        <w:t xml:space="preserve">Kenya Bureau of Standards – WTO TBT National Enquiry Point </w:t>
      </w:r>
    </w:p>
    <w:p w:rsidR="004A266B" w:rsidRPr="00686480" w:rsidP="00996D7A" w14:paraId="03391A6F" w14:textId="77777777">
      <w:pPr>
        <w:jc w:val="left"/>
      </w:pPr>
      <w:r w:rsidRPr="00686480">
        <w:t>KEBS Centre, Popo Road, off Mombasa Road</w:t>
      </w:r>
    </w:p>
    <w:p w:rsidR="00996D7A" w:rsidRPr="00B864A2" w:rsidP="00996D7A" w14:paraId="40B7D164" w14:textId="77777777">
      <w:pPr>
        <w:jc w:val="left"/>
        <w:rPr>
          <w:lang w:val="fr-CH"/>
        </w:rPr>
      </w:pPr>
      <w:r w:rsidRPr="00B864A2">
        <w:rPr>
          <w:lang w:val="fr-CH"/>
        </w:rPr>
        <w:t>P.O</w:t>
      </w:r>
      <w:r w:rsidRPr="00B864A2">
        <w:rPr>
          <w:lang w:val="fr-CH"/>
        </w:rPr>
        <w:t>. Box 54974 – 00200 Nairobi</w:t>
      </w:r>
    </w:p>
    <w:p w:rsidR="00996D7A" w:rsidRPr="00B864A2" w:rsidP="00996D7A" w14:paraId="66E8C497" w14:textId="77777777">
      <w:pPr>
        <w:jc w:val="left"/>
        <w:rPr>
          <w:lang w:val="fr-CH"/>
        </w:rPr>
      </w:pPr>
      <w:r w:rsidRPr="00B864A2">
        <w:rPr>
          <w:lang w:val="fr-CH"/>
        </w:rPr>
        <w:t xml:space="preserve">Kenya </w:t>
      </w:r>
    </w:p>
    <w:p w:rsidR="004A266B" w:rsidRPr="00B864A2" w:rsidP="00996D7A" w14:paraId="0ACACED8" w14:textId="77777777">
      <w:pPr>
        <w:jc w:val="left"/>
        <w:rPr>
          <w:lang w:val="fr-CH"/>
        </w:rPr>
      </w:pPr>
      <w:r w:rsidRPr="00B864A2">
        <w:rPr>
          <w:lang w:val="fr-CH"/>
        </w:rPr>
        <w:t>Tel: (+ 254 020) 6948000</w:t>
      </w:r>
    </w:p>
    <w:p w:rsidR="004A266B" w:rsidRPr="00B864A2" w:rsidP="00996D7A" w14:paraId="216DDCDB" w14:textId="77777777">
      <w:pPr>
        <w:jc w:val="left"/>
        <w:rPr>
          <w:lang w:val="fr-CH"/>
        </w:rPr>
      </w:pPr>
      <w:r w:rsidRPr="00B864A2">
        <w:rPr>
          <w:lang w:val="fr-CH"/>
        </w:rPr>
        <w:t>Mobile: 0724 255242, 0734 600471</w:t>
      </w:r>
    </w:p>
    <w:p w:rsidR="004A266B" w:rsidRPr="00B864A2" w:rsidP="00996D7A" w14:paraId="0EBE93BB" w14:textId="77777777">
      <w:pPr>
        <w:jc w:val="left"/>
        <w:rPr>
          <w:lang w:val="fr-CH"/>
        </w:rPr>
      </w:pPr>
      <w:r w:rsidRPr="00B864A2">
        <w:rPr>
          <w:lang w:val="fr-CH"/>
        </w:rPr>
        <w:t xml:space="preserve">Email: </w:t>
      </w:r>
      <w:hyperlink r:id="rId13" w:history="1">
        <w:r w:rsidRPr="00B864A2">
          <w:rPr>
            <w:color w:val="0000FF"/>
            <w:u w:val="single"/>
            <w:lang w:val="fr-CH"/>
          </w:rPr>
          <w:t>info@kebs.org</w:t>
        </w:r>
      </w:hyperlink>
    </w:p>
    <w:p w:rsidR="004A266B" w:rsidRPr="00686480" w:rsidP="00996D7A" w14:paraId="40361C10" w14:textId="77777777">
      <w:pPr>
        <w:jc w:val="left"/>
      </w:pPr>
      <w:r w:rsidRPr="00686480">
        <w:t>Contact Person: Managing Director – Kenya Bureau of Standards</w:t>
      </w:r>
    </w:p>
    <w:p w:rsidR="004A266B" w:rsidP="00996D7A" w14:paraId="76DF7550" w14:textId="77777777">
      <w:pPr>
        <w:jc w:val="left"/>
      </w:pPr>
      <w:hyperlink r:id="rId15" w:history="1">
        <w:r w:rsidRPr="00686480">
          <w:rPr>
            <w:color w:val="0000FF"/>
            <w:u w:val="single"/>
          </w:rPr>
          <w:t>md@kebs.org</w:t>
        </w:r>
      </w:hyperlink>
    </w:p>
    <w:p w:rsidR="00996D7A" w:rsidRPr="00686480" w:rsidP="00996D7A" w14:paraId="75A486A7" w14:textId="77777777">
      <w:pPr>
        <w:jc w:val="left"/>
      </w:pPr>
    </w:p>
    <w:bookmarkEnd w:id="0"/>
    <w:p w:rsidR="00686480" w:rsidRPr="008B7F72" w:rsidP="00686480" w14:paraId="43CEB9F7" w14:textId="77777777">
      <w:pPr>
        <w:spacing w:after="120"/>
        <w:rPr>
          <w:b/>
          <w:bCs/>
        </w:rPr>
      </w:pPr>
      <w:r w:rsidRPr="008B7F72">
        <w:rPr>
          <w:b/>
          <w:bCs/>
        </w:rPr>
        <w:t>(ii) Notification Authority</w:t>
      </w:r>
    </w:p>
    <w:p w:rsidR="00C408D1" w:rsidRPr="00B42D23" w:rsidP="00996D7A" w14:paraId="6CC117F6" w14:textId="77777777">
      <w:pPr>
        <w:jc w:val="left"/>
      </w:pPr>
      <w:r w:rsidRPr="00B42D23">
        <w:t xml:space="preserve">National Notification Authority (NNA) </w:t>
      </w:r>
    </w:p>
    <w:p w:rsidR="00C408D1" w:rsidRPr="00B42D23" w:rsidP="00996D7A" w14:paraId="46C13366" w14:textId="77777777">
      <w:pPr>
        <w:jc w:val="left"/>
      </w:pPr>
      <w:r w:rsidRPr="00B42D23">
        <w:t xml:space="preserve">State Department for Trade </w:t>
      </w:r>
    </w:p>
    <w:p w:rsidR="00C408D1" w:rsidRPr="00B42D23" w:rsidP="00996D7A" w14:paraId="7CDDB3C8" w14:textId="77777777">
      <w:pPr>
        <w:jc w:val="left"/>
      </w:pPr>
      <w:r w:rsidRPr="00B42D23">
        <w:t>Ministry of Investments, Trade and Industry</w:t>
      </w:r>
    </w:p>
    <w:p w:rsidR="00C408D1" w:rsidP="00996D7A" w14:paraId="6046F6CA" w14:textId="77777777">
      <w:pPr>
        <w:jc w:val="left"/>
      </w:pPr>
      <w:r>
        <w:t>P.O. Box 30430 – 00100 GPO</w:t>
      </w:r>
      <w:r>
        <w:br/>
        <w:t>Nairobi, Kenya</w:t>
      </w:r>
    </w:p>
    <w:p w:rsidR="00C408D1" w:rsidP="00996D7A" w14:paraId="1D769C65" w14:textId="77777777">
      <w:pPr>
        <w:jc w:val="left"/>
      </w:pPr>
      <w:r w:rsidRPr="00B42D23">
        <w:t>Phone</w:t>
      </w:r>
      <w:r w:rsidRPr="00996D7A">
        <w:rPr>
          <w:i/>
          <w:iCs/>
        </w:rPr>
        <w:t>:</w:t>
      </w:r>
      <w:r>
        <w:t xml:space="preserve"> +254 20 3315001</w:t>
      </w:r>
    </w:p>
    <w:p w:rsidR="00C408D1" w:rsidP="00996D7A" w14:paraId="6A5A8F94" w14:textId="77777777">
      <w:pPr>
        <w:jc w:val="left"/>
      </w:pPr>
      <w:hyperlink r:id="rId16" w:history="1">
        <w:r>
          <w:rPr>
            <w:color w:val="0000FF"/>
            <w:u w:val="single"/>
          </w:rPr>
          <w:t>https://www.trade.go.ke</w:t>
        </w:r>
      </w:hyperlink>
    </w:p>
    <w:p w:rsidR="00C408D1" w:rsidP="00996D7A" w14:paraId="2F430625" w14:textId="77777777">
      <w:pPr>
        <w:jc w:val="left"/>
      </w:pPr>
      <w:r w:rsidRPr="00B42D23">
        <w:t>Contact</w:t>
      </w:r>
      <w:r w:rsidRPr="00996D7A">
        <w:rPr>
          <w:i/>
          <w:iCs/>
        </w:rPr>
        <w:t>:</w:t>
      </w:r>
      <w:r>
        <w:rPr>
          <w:b/>
          <w:bCs/>
        </w:rPr>
        <w:t xml:space="preserve"> </w:t>
      </w:r>
      <w:hyperlink r:id="rId12" w:history="1">
        <w:r w:rsidRPr="00996D7A">
          <w:rPr>
            <w:color w:val="0000FF"/>
            <w:u w:val="single"/>
          </w:rPr>
          <w:t>psfortrade@trade.go.ke</w:t>
        </w:r>
      </w:hyperlink>
    </w:p>
    <w:p w:rsidR="003A0337" w:rsidRPr="00CA2EF9" w:rsidP="003A0337" w14:paraId="394F8A11" w14:textId="77777777">
      <w:pPr>
        <w:jc w:val="left"/>
      </w:pPr>
    </w:p>
    <w:p w:rsidR="00686480" w:rsidRPr="00686480" w:rsidP="00D92221" w14:paraId="3B7072BC" w14:textId="77777777">
      <w:pPr>
        <w:pStyle w:val="Heading1"/>
      </w:pPr>
      <w:r w:rsidRPr="009129D0">
        <w:t>ADDITIONAL INFORMATION</w:t>
      </w:r>
    </w:p>
    <w:p w:rsidR="009A0597" w:rsidP="00AD30FD" w14:paraId="63EE77DA" w14:textId="77777777">
      <w:pPr>
        <w:spacing w:after="240"/>
      </w:pPr>
      <w:r>
        <w:t>N/A</w:t>
      </w:r>
    </w:p>
    <w:p w:rsidR="00A42354" w:rsidP="00A42354" w14:paraId="4E78D311" w14:textId="77777777">
      <w:pPr>
        <w:jc w:val="left"/>
      </w:pPr>
    </w:p>
    <w:p w:rsidR="00A42354" w:rsidRPr="00A42354" w:rsidP="00A42354" w14:paraId="0C460A19" w14:textId="77777777">
      <w:pPr>
        <w:jc w:val="center"/>
        <w:rPr>
          <w:bCs/>
        </w:rPr>
      </w:pPr>
      <w:r w:rsidRPr="00CA7CA2">
        <w:rPr>
          <w:bCs/>
        </w:rPr>
        <w:t>__________</w:t>
      </w:r>
    </w:p>
    <w:sectPr w:rsidSect="00735BBB">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210BDB58"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682BD7EC"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16A2" w14:paraId="20008F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5BBB" w:rsidP="00ED54E0" w14:paraId="2DB29748" w14:textId="77777777">
      <w:r>
        <w:separator/>
      </w:r>
    </w:p>
  </w:footnote>
  <w:footnote w:type="continuationSeparator" w:id="1">
    <w:p w:rsidR="00735BBB" w:rsidP="00ED54E0" w14:paraId="54C67B50" w14:textId="77777777">
      <w:r>
        <w:continuationSeparator/>
      </w:r>
    </w:p>
  </w:footnote>
  <w:footnote w:id="2">
    <w:p w:rsidR="009E512B" w:rsidRPr="009E512B" w:rsidP="009E512B" w14:paraId="0E1266AE" w14:textId="77777777">
      <w:pPr>
        <w:pStyle w:val="FootnoteText"/>
      </w:pPr>
      <w:r>
        <w:rPr>
          <w:rStyle w:val="FootnoteReference"/>
        </w:rPr>
        <w:footnoteRef/>
      </w:r>
      <w:r>
        <w:t xml:space="preserve"> </w:t>
      </w:r>
      <w:r w:rsidRPr="00BC374C">
        <w:t xml:space="preserve">Enquiry point and notification authority contact details may subsequently be updated after the circulation of this notification. The latest information is available on </w:t>
      </w:r>
      <w:hyperlink r:id="rId1" w:history="1">
        <w:r w:rsidRPr="00BC374C">
          <w:rPr>
            <w:rStyle w:val="Hyperlink"/>
            <w:color w:val="0000FF"/>
          </w:rPr>
          <w:t>ePing</w:t>
        </w:r>
      </w:hyperlink>
      <w:r w:rsidRPr="00BC37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FB7CC7" w:rsidP="00FB7CC7" w14:paraId="1AD8B062" w14:textId="336EF2EA">
    <w:pPr>
      <w:pStyle w:val="Header"/>
      <w:pBdr>
        <w:bottom w:val="single" w:sz="4" w:space="1" w:color="auto"/>
      </w:pBdr>
      <w:tabs>
        <w:tab w:val="clear" w:pos="4513"/>
        <w:tab w:val="clear" w:pos="9027"/>
      </w:tabs>
      <w:jc w:val="center"/>
    </w:pPr>
    <w:r w:rsidRPr="00FB7CC7">
      <w:t>G/TBT/15.2/N/</w:t>
    </w:r>
    <w:r w:rsidR="00BF16A2">
      <w:t>KEN</w:t>
    </w:r>
  </w:p>
  <w:p w:rsidR="00FB7CC7" w:rsidRPr="00FB7CC7" w:rsidP="00FB7CC7" w14:paraId="05F365AA" w14:textId="77777777">
    <w:pPr>
      <w:pStyle w:val="Header"/>
      <w:pBdr>
        <w:bottom w:val="single" w:sz="4" w:space="1" w:color="auto"/>
      </w:pBdr>
      <w:tabs>
        <w:tab w:val="clear" w:pos="4513"/>
        <w:tab w:val="clear" w:pos="9027"/>
      </w:tabs>
      <w:jc w:val="center"/>
    </w:pPr>
  </w:p>
  <w:p w:rsidR="00FB7CC7" w:rsidRPr="00FB7CC7" w:rsidP="00FB7CC7" w14:paraId="658FD7DD" w14:textId="77777777">
    <w:pPr>
      <w:pStyle w:val="Header"/>
      <w:pBdr>
        <w:bottom w:val="single" w:sz="4" w:space="1" w:color="auto"/>
      </w:pBdr>
      <w:tabs>
        <w:tab w:val="clear" w:pos="4513"/>
        <w:tab w:val="clear" w:pos="9027"/>
      </w:tabs>
      <w:jc w:val="center"/>
    </w:pPr>
    <w:r w:rsidRPr="00FB7CC7">
      <w:t xml:space="preserve">- </w:t>
    </w:r>
    <w:r w:rsidRPr="00FB7CC7">
      <w:fldChar w:fldCharType="begin"/>
    </w:r>
    <w:r w:rsidRPr="00FB7CC7">
      <w:instrText xml:space="preserve"> PAGE </w:instrText>
    </w:r>
    <w:r w:rsidRPr="00FB7CC7">
      <w:fldChar w:fldCharType="separate"/>
    </w:r>
    <w:r w:rsidRPr="00FB7CC7">
      <w:t>4</w:t>
    </w:r>
    <w:r w:rsidRPr="00FB7CC7">
      <w:fldChar w:fldCharType="end"/>
    </w:r>
    <w:r w:rsidRPr="00FB7CC7">
      <w:t xml:space="preserve"> -</w:t>
    </w:r>
  </w:p>
  <w:p w:rsidR="00544326" w:rsidRPr="00FB7CC7" w:rsidP="00FB7CC7" w14:paraId="5A59207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FB7CC7" w:rsidP="00FB7CC7" w14:paraId="1AB8D18A" w14:textId="400DDA08">
    <w:pPr>
      <w:pStyle w:val="Header"/>
      <w:pBdr>
        <w:bottom w:val="single" w:sz="4" w:space="1" w:color="auto"/>
      </w:pBdr>
      <w:tabs>
        <w:tab w:val="clear" w:pos="4513"/>
        <w:tab w:val="clear" w:pos="9027"/>
      </w:tabs>
      <w:jc w:val="center"/>
    </w:pPr>
    <w:r w:rsidRPr="00FB7CC7">
      <w:t>G/TBT/15.2/N/</w:t>
    </w:r>
    <w:r w:rsidR="00BF16A2">
      <w:t>KEN</w:t>
    </w:r>
  </w:p>
  <w:p w:rsidR="00FB7CC7" w:rsidRPr="00FB7CC7" w:rsidP="00FB7CC7" w14:paraId="3F4B5F51" w14:textId="77777777">
    <w:pPr>
      <w:pStyle w:val="Header"/>
      <w:pBdr>
        <w:bottom w:val="single" w:sz="4" w:space="1" w:color="auto"/>
      </w:pBdr>
      <w:tabs>
        <w:tab w:val="clear" w:pos="4513"/>
        <w:tab w:val="clear" w:pos="9027"/>
      </w:tabs>
      <w:jc w:val="center"/>
    </w:pPr>
  </w:p>
  <w:p w:rsidR="00FB7CC7" w:rsidRPr="00FB7CC7" w:rsidP="00FB7CC7" w14:paraId="49948B81" w14:textId="77777777">
    <w:pPr>
      <w:pStyle w:val="Header"/>
      <w:pBdr>
        <w:bottom w:val="single" w:sz="4" w:space="1" w:color="auto"/>
      </w:pBdr>
      <w:tabs>
        <w:tab w:val="clear" w:pos="4513"/>
        <w:tab w:val="clear" w:pos="9027"/>
      </w:tabs>
      <w:jc w:val="center"/>
    </w:pPr>
    <w:r w:rsidRPr="00FB7CC7">
      <w:t xml:space="preserve">- </w:t>
    </w:r>
    <w:r w:rsidRPr="00FB7CC7">
      <w:fldChar w:fldCharType="begin"/>
    </w:r>
    <w:r w:rsidRPr="00FB7CC7">
      <w:instrText xml:space="preserve"> PAGE </w:instrText>
    </w:r>
    <w:r w:rsidRPr="00FB7CC7">
      <w:fldChar w:fldCharType="separate"/>
    </w:r>
    <w:r w:rsidRPr="00FB7CC7">
      <w:t>5</w:t>
    </w:r>
    <w:r w:rsidRPr="00FB7CC7">
      <w:fldChar w:fldCharType="end"/>
    </w:r>
    <w:r w:rsidRPr="00FB7CC7">
      <w:t xml:space="preserve"> -</w:t>
    </w:r>
  </w:p>
  <w:p w:rsidR="00544326" w:rsidRPr="00FB7CC7" w:rsidP="00FB7CC7" w14:paraId="62B8AEF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6E357E76" w14:textId="77777777" w:rsidTr="00BF16A2">
      <w:tblPrEx>
        <w:tblW w:w="5000" w:type="pct"/>
        <w:jc w:val="center"/>
        <w:tblLook w:val="04A0"/>
      </w:tblPrEx>
      <w:trPr>
        <w:trHeight w:val="240"/>
        <w:jc w:val="center"/>
      </w:trPr>
      <w:tc>
        <w:tcPr>
          <w:tcW w:w="2053" w:type="pct"/>
          <w:tcMar>
            <w:left w:w="108" w:type="dxa"/>
            <w:right w:w="108" w:type="dxa"/>
          </w:tcMar>
          <w:vAlign w:val="center"/>
        </w:tcPr>
        <w:p w:rsidR="00BF16A2" w:rsidRPr="00BF16A2" w:rsidP="00703F81" w14:paraId="76E09C86" w14:textId="77777777">
          <w:pPr>
            <w:rPr>
              <w:rFonts w:eastAsia="Verdana" w:cs="Verdana"/>
              <w:noProof/>
              <w:szCs w:val="18"/>
              <w:lang w:eastAsia="en-GB"/>
            </w:rPr>
          </w:pPr>
          <w:bookmarkStart w:id="1" w:name="bmkRestricted" w:colFirst="1" w:colLast="1"/>
          <w:bookmarkStart w:id="2" w:name="bmkMasthead"/>
        </w:p>
      </w:tc>
      <w:tc>
        <w:tcPr>
          <w:tcW w:w="2947" w:type="pct"/>
          <w:gridSpan w:val="2"/>
          <w:tcMar>
            <w:left w:w="108" w:type="dxa"/>
            <w:right w:w="108" w:type="dxa"/>
          </w:tcMar>
          <w:vAlign w:val="center"/>
        </w:tcPr>
        <w:p w:rsidR="00BF16A2" w:rsidRPr="00BF16A2" w:rsidP="00703F81" w14:paraId="21E1CB00" w14:textId="77777777">
          <w:pPr>
            <w:jc w:val="right"/>
            <w:rPr>
              <w:rFonts w:eastAsia="Verdana" w:cs="Verdana"/>
              <w:b/>
              <w:color w:val="FF0000"/>
              <w:szCs w:val="18"/>
            </w:rPr>
          </w:pPr>
        </w:p>
      </w:tc>
    </w:tr>
    <w:tr w14:paraId="60EDA82A" w14:textId="77777777" w:rsidTr="00BF16A2">
      <w:tblPrEx>
        <w:tblW w:w="5000" w:type="pct"/>
        <w:jc w:val="center"/>
        <w:tblLook w:val="04A0"/>
      </w:tblPrEx>
      <w:trPr>
        <w:trHeight w:val="213"/>
        <w:jc w:val="center"/>
      </w:trPr>
      <w:tc>
        <w:tcPr>
          <w:tcW w:w="2053" w:type="pct"/>
          <w:vMerge w:val="restart"/>
          <w:tcMar>
            <w:left w:w="0" w:type="dxa"/>
            <w:right w:w="0" w:type="dxa"/>
          </w:tcMar>
        </w:tcPr>
        <w:p w:rsidR="00BF16A2" w:rsidRPr="00BF16A2" w:rsidP="00703F81" w14:paraId="15416F4E" w14:textId="2E106C13">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538127870" name="Picture 1"/>
                <wp:cNvGraphicFramePr/>
                <a:graphic xmlns:a="http://schemas.openxmlformats.org/drawingml/2006/main">
                  <a:graphicData uri="http://schemas.openxmlformats.org/drawingml/2006/picture">
                    <pic:pic xmlns:pic="http://schemas.openxmlformats.org/drawingml/2006/picture">
                      <pic:nvPicPr>
                        <pic:cNvPr id="53812787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BF16A2" w:rsidRPr="00BF16A2" w:rsidP="00703F81" w14:paraId="0A57AF53" w14:textId="77777777">
          <w:pPr>
            <w:jc w:val="right"/>
            <w:rPr>
              <w:rFonts w:eastAsia="Verdana" w:cs="Verdana"/>
              <w:b/>
              <w:szCs w:val="18"/>
            </w:rPr>
          </w:pPr>
        </w:p>
      </w:tc>
    </w:tr>
    <w:tr w14:paraId="07AA1D9D" w14:textId="77777777" w:rsidTr="00BF16A2">
      <w:tblPrEx>
        <w:tblW w:w="5000" w:type="pct"/>
        <w:jc w:val="center"/>
        <w:tblLook w:val="04A0"/>
      </w:tblPrEx>
      <w:trPr>
        <w:trHeight w:val="868"/>
        <w:jc w:val="center"/>
      </w:trPr>
      <w:tc>
        <w:tcPr>
          <w:tcW w:w="2053" w:type="pct"/>
          <w:vMerge/>
          <w:tcMar>
            <w:left w:w="108" w:type="dxa"/>
            <w:right w:w="108" w:type="dxa"/>
          </w:tcMar>
        </w:tcPr>
        <w:p w:rsidR="00BF16A2" w:rsidRPr="00BF16A2" w:rsidP="00703F81" w14:paraId="1859491F" w14:textId="77777777">
          <w:pPr>
            <w:jc w:val="left"/>
            <w:rPr>
              <w:rFonts w:eastAsia="Verdana" w:cs="Verdana"/>
              <w:noProof/>
              <w:szCs w:val="18"/>
              <w:lang w:eastAsia="en-GB"/>
            </w:rPr>
          </w:pPr>
          <w:bookmarkStart w:id="4" w:name="bmkSymbols" w:colFirst="1" w:colLast="1"/>
          <w:bookmarkEnd w:id="3"/>
        </w:p>
      </w:tc>
      <w:tc>
        <w:tcPr>
          <w:tcW w:w="2947" w:type="pct"/>
          <w:gridSpan w:val="2"/>
          <w:tcMar>
            <w:left w:w="108" w:type="dxa"/>
            <w:right w:w="108" w:type="dxa"/>
          </w:tcMar>
        </w:tcPr>
        <w:p w:rsidR="00BF16A2" w:rsidRPr="00BF16A2" w:rsidP="00703F81" w14:paraId="3456F963" w14:textId="3C62E147">
          <w:pPr>
            <w:jc w:val="right"/>
            <w:rPr>
              <w:rFonts w:eastAsia="Verdana" w:cs="Verdana"/>
              <w:b/>
              <w:szCs w:val="18"/>
            </w:rPr>
          </w:pPr>
          <w:r>
            <w:rPr>
              <w:b/>
              <w:szCs w:val="18"/>
            </w:rPr>
            <w:t>G/TBT/15.2/N/KEN</w:t>
          </w:r>
        </w:p>
      </w:tc>
    </w:tr>
    <w:tr w14:paraId="2A6CD029" w14:textId="77777777" w:rsidTr="00BF16A2">
      <w:tblPrEx>
        <w:tblW w:w="5000" w:type="pct"/>
        <w:jc w:val="center"/>
        <w:tblLook w:val="04A0"/>
      </w:tblPrEx>
      <w:trPr>
        <w:trHeight w:val="240"/>
        <w:jc w:val="center"/>
      </w:trPr>
      <w:tc>
        <w:tcPr>
          <w:tcW w:w="2053" w:type="pct"/>
          <w:vMerge/>
          <w:tcMar>
            <w:left w:w="108" w:type="dxa"/>
            <w:right w:w="108" w:type="dxa"/>
          </w:tcMar>
          <w:vAlign w:val="center"/>
        </w:tcPr>
        <w:p w:rsidR="00BF16A2" w:rsidRPr="00BF16A2" w:rsidP="00703F81" w14:paraId="243ED0ED" w14:textId="77777777">
          <w:pPr>
            <w:rPr>
              <w:rFonts w:eastAsia="Verdana" w:cs="Verdana"/>
              <w:szCs w:val="18"/>
            </w:rPr>
          </w:pPr>
          <w:bookmarkEnd w:id="4"/>
        </w:p>
      </w:tc>
      <w:tc>
        <w:tcPr>
          <w:tcW w:w="2947" w:type="pct"/>
          <w:gridSpan w:val="2"/>
          <w:tcMar>
            <w:left w:w="108" w:type="dxa"/>
            <w:right w:w="108" w:type="dxa"/>
          </w:tcMar>
          <w:vAlign w:val="center"/>
        </w:tcPr>
        <w:p w:rsidR="00BF16A2" w:rsidRPr="00BF16A2" w:rsidP="00703F81" w14:paraId="18E1D31D" w14:textId="31E785D2">
          <w:pPr>
            <w:jc w:val="right"/>
            <w:rPr>
              <w:rFonts w:eastAsia="Verdana" w:cs="Verdana"/>
              <w:szCs w:val="18"/>
            </w:rPr>
          </w:pPr>
          <w:r>
            <w:rPr>
              <w:rFonts w:eastAsia="Verdana" w:cs="Verdana"/>
              <w:szCs w:val="18"/>
            </w:rPr>
            <w:t>25 September 2025</w:t>
          </w:r>
        </w:p>
      </w:tc>
    </w:tr>
    <w:tr w14:paraId="4895F189" w14:textId="77777777" w:rsidTr="00BF16A2">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BF16A2" w:rsidRPr="00BF16A2" w:rsidP="00703F81" w14:paraId="2B7A7975" w14:textId="645E8586">
          <w:pPr>
            <w:jc w:val="left"/>
            <w:rPr>
              <w:rFonts w:eastAsia="Verdana" w:cs="Verdana"/>
              <w:b/>
              <w:szCs w:val="18"/>
            </w:rPr>
          </w:pPr>
          <w:bookmarkStart w:id="5" w:name="bmkSerial" w:colFirst="0" w:colLast="0"/>
          <w:r>
            <w:rPr>
              <w:b w:val="0"/>
              <w:color w:val="FF0000"/>
            </w:rPr>
            <w:t>(25-6099)</w:t>
          </w:r>
        </w:p>
      </w:tc>
      <w:tc>
        <w:tcPr>
          <w:tcW w:w="1799" w:type="pct"/>
          <w:tcBorders>
            <w:bottom w:val="single" w:sz="4" w:space="0" w:color="auto"/>
          </w:tcBorders>
          <w:tcMar>
            <w:top w:w="0" w:type="dxa"/>
            <w:left w:w="108" w:type="dxa"/>
            <w:bottom w:w="57" w:type="dxa"/>
            <w:right w:w="108" w:type="dxa"/>
          </w:tcMar>
          <w:vAlign w:val="bottom"/>
        </w:tcPr>
        <w:p w:rsidR="00BF16A2" w:rsidRPr="00BF16A2" w:rsidP="00703F81" w14:paraId="149238B3" w14:textId="7B656B7B">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5</w:t>
          </w:r>
          <w:r>
            <w:rPr>
              <w:rFonts w:eastAsia="Verdana" w:cs="Verdana"/>
              <w:szCs w:val="18"/>
            </w:rPr>
            <w:fldChar w:fldCharType="end"/>
          </w:r>
        </w:p>
      </w:tc>
    </w:tr>
    <w:tr w14:paraId="0CF9EFA0" w14:textId="77777777" w:rsidTr="00BF16A2">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BF16A2" w:rsidRPr="00BF16A2" w:rsidP="00703F81" w14:paraId="3B5FEBB0" w14:textId="6EA251E3">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tcMar>
            <w:top w:w="113" w:type="dxa"/>
            <w:left w:w="108" w:type="dxa"/>
            <w:bottom w:w="57" w:type="dxa"/>
            <w:right w:w="108" w:type="dxa"/>
          </w:tcMar>
        </w:tcPr>
        <w:p w:rsidR="00BF16A2" w:rsidRPr="00BF16A2" w:rsidP="00703F81" w14:paraId="69E18D63" w14:textId="2CA6FE2D">
          <w:pPr>
            <w:jc w:val="right"/>
            <w:rPr>
              <w:rFonts w:eastAsia="Verdana" w:cs="Verdana"/>
              <w:bCs/>
              <w:szCs w:val="18"/>
            </w:rPr>
          </w:pPr>
          <w:r>
            <w:rPr>
              <w:rFonts w:eastAsia="Verdana" w:cs="Verdana"/>
              <w:bCs/>
              <w:szCs w:val="18"/>
            </w:rPr>
            <w:t>Original: English</w:t>
          </w:r>
        </w:p>
      </w:tc>
    </w:tr>
    <w:bookmarkEnd w:id="2"/>
    <w:bookmarkEnd w:id="6"/>
    <w:bookmarkEnd w:id="7"/>
  </w:tbl>
  <w:p w:rsidR="00ED54E0" w:rsidRPr="00BF16A2" w14:paraId="7BF13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53020018"/>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533365">
    <w:abstractNumId w:val="8"/>
  </w:num>
  <w:num w:numId="2" w16cid:durableId="753013518">
    <w:abstractNumId w:val="7"/>
  </w:num>
  <w:num w:numId="3" w16cid:durableId="1875534193">
    <w:abstractNumId w:val="6"/>
  </w:num>
  <w:num w:numId="4" w16cid:durableId="1433352342">
    <w:abstractNumId w:val="9"/>
  </w:num>
  <w:num w:numId="5" w16cid:durableId="872381603">
    <w:abstractNumId w:val="4"/>
  </w:num>
  <w:num w:numId="6" w16cid:durableId="354158249">
    <w:abstractNumId w:val="3"/>
  </w:num>
  <w:num w:numId="7" w16cid:durableId="1545171074">
    <w:abstractNumId w:val="2"/>
  </w:num>
  <w:num w:numId="8" w16cid:durableId="2009167774">
    <w:abstractNumId w:val="1"/>
  </w:num>
  <w:num w:numId="9" w16cid:durableId="1472288084">
    <w:abstractNumId w:val="0"/>
  </w:num>
  <w:num w:numId="10" w16cid:durableId="873542926">
    <w:abstractNumId w:val="10"/>
  </w:num>
  <w:num w:numId="11" w16cid:durableId="23621249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657458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7100286">
    <w:abstractNumId w:val="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attachedTemplate r:id="rId1"/>
  <w:defaultTabStop w:val="567"/>
  <w:hyphenationZone w:val="425"/>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481E"/>
    <w:rsid w:val="000272F6"/>
    <w:rsid w:val="00037AC4"/>
    <w:rsid w:val="000423BF"/>
    <w:rsid w:val="000706FF"/>
    <w:rsid w:val="00097FCA"/>
    <w:rsid w:val="000A1B20"/>
    <w:rsid w:val="000A27B9"/>
    <w:rsid w:val="000A4945"/>
    <w:rsid w:val="000B31E1"/>
    <w:rsid w:val="000D0544"/>
    <w:rsid w:val="001041E3"/>
    <w:rsid w:val="0011356B"/>
    <w:rsid w:val="00114434"/>
    <w:rsid w:val="00115F64"/>
    <w:rsid w:val="001223FC"/>
    <w:rsid w:val="001253E3"/>
    <w:rsid w:val="0013337F"/>
    <w:rsid w:val="00154C67"/>
    <w:rsid w:val="00182B84"/>
    <w:rsid w:val="00195DA8"/>
    <w:rsid w:val="001B6605"/>
    <w:rsid w:val="001B6D7F"/>
    <w:rsid w:val="001E291F"/>
    <w:rsid w:val="001E6163"/>
    <w:rsid w:val="00212EBE"/>
    <w:rsid w:val="00215898"/>
    <w:rsid w:val="00233408"/>
    <w:rsid w:val="00242F64"/>
    <w:rsid w:val="0027067B"/>
    <w:rsid w:val="00281808"/>
    <w:rsid w:val="00286690"/>
    <w:rsid w:val="002F707E"/>
    <w:rsid w:val="003018FC"/>
    <w:rsid w:val="00305CBA"/>
    <w:rsid w:val="003156C6"/>
    <w:rsid w:val="00341F5E"/>
    <w:rsid w:val="003572B4"/>
    <w:rsid w:val="003663F6"/>
    <w:rsid w:val="00392709"/>
    <w:rsid w:val="003A0337"/>
    <w:rsid w:val="003A3017"/>
    <w:rsid w:val="003B052C"/>
    <w:rsid w:val="003B6EE5"/>
    <w:rsid w:val="003D0750"/>
    <w:rsid w:val="003D201D"/>
    <w:rsid w:val="00425DC5"/>
    <w:rsid w:val="00430E77"/>
    <w:rsid w:val="004365D1"/>
    <w:rsid w:val="00463E2D"/>
    <w:rsid w:val="00467032"/>
    <w:rsid w:val="0046754A"/>
    <w:rsid w:val="00467C85"/>
    <w:rsid w:val="0047051A"/>
    <w:rsid w:val="00491CB0"/>
    <w:rsid w:val="00495AC9"/>
    <w:rsid w:val="004A266B"/>
    <w:rsid w:val="004B726C"/>
    <w:rsid w:val="004C18C1"/>
    <w:rsid w:val="004C3EDE"/>
    <w:rsid w:val="004E6D4C"/>
    <w:rsid w:val="004F203A"/>
    <w:rsid w:val="00510DE9"/>
    <w:rsid w:val="005259CA"/>
    <w:rsid w:val="005336B8"/>
    <w:rsid w:val="00544326"/>
    <w:rsid w:val="00547B5F"/>
    <w:rsid w:val="00551A16"/>
    <w:rsid w:val="0056365B"/>
    <w:rsid w:val="0056480E"/>
    <w:rsid w:val="00566FC4"/>
    <w:rsid w:val="00570AA7"/>
    <w:rsid w:val="00586652"/>
    <w:rsid w:val="00586EA6"/>
    <w:rsid w:val="00590DD8"/>
    <w:rsid w:val="005A1A22"/>
    <w:rsid w:val="005B04B9"/>
    <w:rsid w:val="005B68C7"/>
    <w:rsid w:val="005B7054"/>
    <w:rsid w:val="005C4025"/>
    <w:rsid w:val="005D5981"/>
    <w:rsid w:val="005F30CB"/>
    <w:rsid w:val="005F4C1F"/>
    <w:rsid w:val="005F727F"/>
    <w:rsid w:val="00612644"/>
    <w:rsid w:val="00634A10"/>
    <w:rsid w:val="00674CCD"/>
    <w:rsid w:val="00686480"/>
    <w:rsid w:val="00694BCE"/>
    <w:rsid w:val="006967BF"/>
    <w:rsid w:val="006972F9"/>
    <w:rsid w:val="006A2185"/>
    <w:rsid w:val="006C3955"/>
    <w:rsid w:val="006F572B"/>
    <w:rsid w:val="006F5826"/>
    <w:rsid w:val="00700181"/>
    <w:rsid w:val="00701570"/>
    <w:rsid w:val="00703F81"/>
    <w:rsid w:val="007100D2"/>
    <w:rsid w:val="007141CF"/>
    <w:rsid w:val="007152F6"/>
    <w:rsid w:val="00735BBB"/>
    <w:rsid w:val="00745146"/>
    <w:rsid w:val="007577E3"/>
    <w:rsid w:val="00760DB3"/>
    <w:rsid w:val="00762A2B"/>
    <w:rsid w:val="0076560E"/>
    <w:rsid w:val="0078157E"/>
    <w:rsid w:val="00795A4B"/>
    <w:rsid w:val="007972BA"/>
    <w:rsid w:val="007C0FA5"/>
    <w:rsid w:val="007C3889"/>
    <w:rsid w:val="007D40B3"/>
    <w:rsid w:val="007E447B"/>
    <w:rsid w:val="007E6507"/>
    <w:rsid w:val="007F2B8E"/>
    <w:rsid w:val="007F32D1"/>
    <w:rsid w:val="00807247"/>
    <w:rsid w:val="008262D4"/>
    <w:rsid w:val="008404BF"/>
    <w:rsid w:val="00840C2B"/>
    <w:rsid w:val="00862B40"/>
    <w:rsid w:val="00863B29"/>
    <w:rsid w:val="008739FD"/>
    <w:rsid w:val="00893E85"/>
    <w:rsid w:val="008940F9"/>
    <w:rsid w:val="008B7F72"/>
    <w:rsid w:val="008C012F"/>
    <w:rsid w:val="008D7949"/>
    <w:rsid w:val="008E372C"/>
    <w:rsid w:val="008F66F0"/>
    <w:rsid w:val="008F7899"/>
    <w:rsid w:val="00906997"/>
    <w:rsid w:val="00912888"/>
    <w:rsid w:val="009129D0"/>
    <w:rsid w:val="009178DE"/>
    <w:rsid w:val="009409B7"/>
    <w:rsid w:val="00981BF2"/>
    <w:rsid w:val="00996D7A"/>
    <w:rsid w:val="009A0597"/>
    <w:rsid w:val="009A6F54"/>
    <w:rsid w:val="009C2247"/>
    <w:rsid w:val="009C4212"/>
    <w:rsid w:val="009C51D7"/>
    <w:rsid w:val="009E4786"/>
    <w:rsid w:val="009E512B"/>
    <w:rsid w:val="00A17420"/>
    <w:rsid w:val="00A42354"/>
    <w:rsid w:val="00A6057A"/>
    <w:rsid w:val="00A64843"/>
    <w:rsid w:val="00A735E3"/>
    <w:rsid w:val="00A74017"/>
    <w:rsid w:val="00A77E68"/>
    <w:rsid w:val="00A902C3"/>
    <w:rsid w:val="00AA332C"/>
    <w:rsid w:val="00AC27F8"/>
    <w:rsid w:val="00AD30FD"/>
    <w:rsid w:val="00AD4C72"/>
    <w:rsid w:val="00AE2AEE"/>
    <w:rsid w:val="00B00276"/>
    <w:rsid w:val="00B230EC"/>
    <w:rsid w:val="00B42D23"/>
    <w:rsid w:val="00B43726"/>
    <w:rsid w:val="00B52738"/>
    <w:rsid w:val="00B56EDC"/>
    <w:rsid w:val="00B60206"/>
    <w:rsid w:val="00B66148"/>
    <w:rsid w:val="00B72EB1"/>
    <w:rsid w:val="00B864A2"/>
    <w:rsid w:val="00B96A74"/>
    <w:rsid w:val="00BA4A34"/>
    <w:rsid w:val="00BB1F84"/>
    <w:rsid w:val="00BC1A02"/>
    <w:rsid w:val="00BC374C"/>
    <w:rsid w:val="00BE3476"/>
    <w:rsid w:val="00BE5468"/>
    <w:rsid w:val="00BE7F98"/>
    <w:rsid w:val="00BF16A2"/>
    <w:rsid w:val="00BF79CC"/>
    <w:rsid w:val="00C11EAC"/>
    <w:rsid w:val="00C15F6D"/>
    <w:rsid w:val="00C305D7"/>
    <w:rsid w:val="00C30F2A"/>
    <w:rsid w:val="00C408D1"/>
    <w:rsid w:val="00C43456"/>
    <w:rsid w:val="00C65C0C"/>
    <w:rsid w:val="00C801FF"/>
    <w:rsid w:val="00C808FC"/>
    <w:rsid w:val="00C97EB2"/>
    <w:rsid w:val="00CA1428"/>
    <w:rsid w:val="00CA2EF9"/>
    <w:rsid w:val="00CA7CA2"/>
    <w:rsid w:val="00CD309B"/>
    <w:rsid w:val="00CD481B"/>
    <w:rsid w:val="00CD7D97"/>
    <w:rsid w:val="00CE3EE6"/>
    <w:rsid w:val="00CE4BA1"/>
    <w:rsid w:val="00CF5529"/>
    <w:rsid w:val="00D000C7"/>
    <w:rsid w:val="00D07E2A"/>
    <w:rsid w:val="00D221B8"/>
    <w:rsid w:val="00D26433"/>
    <w:rsid w:val="00D52A9D"/>
    <w:rsid w:val="00D55AAD"/>
    <w:rsid w:val="00D6197F"/>
    <w:rsid w:val="00D62242"/>
    <w:rsid w:val="00D747AE"/>
    <w:rsid w:val="00D75CC1"/>
    <w:rsid w:val="00D92221"/>
    <w:rsid w:val="00D9226C"/>
    <w:rsid w:val="00DA20BD"/>
    <w:rsid w:val="00DD14F3"/>
    <w:rsid w:val="00DE50DB"/>
    <w:rsid w:val="00DF44DB"/>
    <w:rsid w:val="00DF6AE1"/>
    <w:rsid w:val="00E17228"/>
    <w:rsid w:val="00E24C3F"/>
    <w:rsid w:val="00E37159"/>
    <w:rsid w:val="00E43F90"/>
    <w:rsid w:val="00E46FD5"/>
    <w:rsid w:val="00E544BB"/>
    <w:rsid w:val="00E56545"/>
    <w:rsid w:val="00E84614"/>
    <w:rsid w:val="00EA5D4F"/>
    <w:rsid w:val="00EB6C56"/>
    <w:rsid w:val="00ED1D47"/>
    <w:rsid w:val="00ED54E0"/>
    <w:rsid w:val="00EE71F6"/>
    <w:rsid w:val="00EF1B5B"/>
    <w:rsid w:val="00F0186E"/>
    <w:rsid w:val="00F32397"/>
    <w:rsid w:val="00F40595"/>
    <w:rsid w:val="00F81002"/>
    <w:rsid w:val="00F9086F"/>
    <w:rsid w:val="00F93F4A"/>
    <w:rsid w:val="00FA5EBC"/>
    <w:rsid w:val="00FB7CC7"/>
    <w:rsid w:val="00FC0C98"/>
    <w:rsid w:val="00FC4031"/>
    <w:rsid w:val="00FD224A"/>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EDB5409"/>
  <w15:docId w15:val="{5A4410CC-8735-4D13-B530-5FE97B2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styleId="UnresolvedMention">
    <w:name w:val="Unresolved Mention"/>
    <w:basedOn w:val="DefaultParagraphFont"/>
    <w:uiPriority w:val="99"/>
    <w:rsid w:val="00B86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KenyaLaw.org" TargetMode="External" /><Relationship Id="rId11" Type="http://schemas.openxmlformats.org/officeDocument/2006/relationships/hyperlink" Target="https://www.mygov.go.ke" TargetMode="External" /><Relationship Id="rId12" Type="http://schemas.openxmlformats.org/officeDocument/2006/relationships/hyperlink" Target="mailto:psfortrade@trade.go.ke" TargetMode="External" /><Relationship Id="rId13" Type="http://schemas.openxmlformats.org/officeDocument/2006/relationships/hyperlink" Target="mailto:info@kebs.org" TargetMode="External" /><Relationship Id="rId14" Type="http://schemas.openxmlformats.org/officeDocument/2006/relationships/hyperlink" Target="https://webstore.kebs.org/" TargetMode="External" /><Relationship Id="rId15" Type="http://schemas.openxmlformats.org/officeDocument/2006/relationships/hyperlink" Target="mailto:md@kebs.org" TargetMode="External" /><Relationship Id="rId16" Type="http://schemas.openxmlformats.org/officeDocument/2006/relationships/hyperlink" Target="https://www.trade.go.ke"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docs.wto.org/dol2fe/Pages/FE_Search/FE_S_S006.aspx?DataSource=Cat&amp;query=@Symbol=%22G/TBT/1/Rev.5%22%20OR%20@Symbol=%22G/TBT/1/Rev.5/*%22&amp;Language=English&amp;Context=ScriptedSearches&amp;languageUIChanged=true" TargetMode="External" /><Relationship Id="rId8" Type="http://schemas.openxmlformats.org/officeDocument/2006/relationships/hyperlink" Target="https://docs.wto.org/dol2fe/Pages/FE_Search/FE_S_S006.aspx?DataSource=Cat&amp;query=@Symbol=%22G/TBT/1/Rev.6%22%20OR%20@Symbol=%22G/TBT/1/Rev.6/*%22&amp;Language=English&amp;Context=ScriptedSearches&amp;languageUIChanged=true" TargetMode="External" /><Relationship Id="rId9" Type="http://schemas.openxmlformats.org/officeDocument/2006/relationships/hyperlink" Target="https://docs.wto.org/dol2fe/Pages/FE_Search/FE_S_S006.aspx?DataSource=Cat&amp;query=@Symbol=%22G/TBT/CS/N/24)%22%20OR%20@Symbol=%22G/TBT/CS/N/24)/*%22&amp;Language=English&amp;Context=ScriptedSearches&amp;languageUIChanged=tru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en/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offano\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51f27f7b-b7c2-4788-a570-b333f43d13b1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3165E8B-CF92-40C6-A295-819660EEBA8F}">
  <ds:schemaRefs>
    <ds:schemaRef ds:uri="http://schemas.openxmlformats.org/officeDocument/2006/bibliography"/>
  </ds:schemaRefs>
</ds:datastoreItem>
</file>

<file path=customXml/itemProps2.xml><?xml version="1.0" encoding="utf-8"?>
<ds:datastoreItem xmlns:ds="http://schemas.openxmlformats.org/officeDocument/2006/customXml" ds:itemID="{47C7A4EF-1ACD-4B38-A937-D5B2FB4E24A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229</TotalTime>
  <Pages>5</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Anonym</cp:lastModifiedBy>
  <cp:revision>6</cp:revision>
  <cp:lastPrinted>2025-09-25T09:23:00Z</cp:lastPrinted>
  <dcterms:created xsi:type="dcterms:W3CDTF">2025-09-24T07:57:00Z</dcterms:created>
  <dcterms:modified xsi:type="dcterms:W3CDTF">2025-09-25T12:56:00Z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G/TBT/15.2/N/[ISO 3 letter country code]</vt:lpwstr>
  </property>
  <property fmtid="{D5CDD505-2E9C-101B-9397-08002B2CF9AE}" pid="3" name="TitusGUID">
    <vt:lpwstr>51f27f7b-b7c2-4788-a570-b333f43d13b1</vt:lpwstr>
  </property>
  <property fmtid="{D5CDD505-2E9C-101B-9397-08002B2CF9AE}" pid="4" name="WTOCLASSIFICATION">
    <vt:lpwstr>WTO OFFICIAL</vt:lpwstr>
  </property>
</Properties>
</file>