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2A71E0" w:rsidRPr="00016333" w:rsidP="002A71E0" w14:paraId="298FC393" w14:textId="77777777">
      <w:pPr>
        <w:pStyle w:val="Title"/>
        <w:tabs>
          <w:tab w:val="left" w:pos="6521"/>
        </w:tabs>
        <w:rPr>
          <w:lang w:val="fr-CH"/>
        </w:rPr>
      </w:pPr>
      <w:r w:rsidRPr="00016333">
        <w:rPr>
          <w:lang w:val="fr-CH"/>
        </w:rPr>
        <w:t>MISE EN ŒUVRE ET ADMINISTRATION DE L'ACCORD SUR</w:t>
      </w:r>
      <w:r w:rsidRPr="00016333">
        <w:rPr>
          <w:lang w:val="fr-CH"/>
        </w:rPr>
        <w:br/>
        <w:t>LES OBSTACLES TECHNIQUES AU COMMERCE</w:t>
      </w:r>
    </w:p>
    <w:p w:rsidR="00CD481B" w:rsidRPr="005A1909" w:rsidP="002A71E0" w14:paraId="0B4EB27A" w14:textId="77777777">
      <w:pPr>
        <w:pStyle w:val="Title3"/>
        <w:rPr>
          <w:lang w:val="fr-CH"/>
        </w:rPr>
      </w:pPr>
      <w:r w:rsidRPr="002A71E0">
        <w:rPr>
          <w:lang w:val="fr-CH"/>
        </w:rPr>
        <w:t xml:space="preserve">COMMUNICATION </w:t>
      </w:r>
      <w:r w:rsidR="008C2C2C">
        <w:rPr>
          <w:lang w:val="fr-CH"/>
        </w:rPr>
        <w:t>PRÉSENTÉE PAR LES</w:t>
      </w:r>
      <w:r w:rsidRPr="002A71E0" w:rsidR="008C2C2C">
        <w:rPr>
          <w:lang w:val="fr-CH"/>
        </w:rPr>
        <w:t xml:space="preserve"> </w:t>
      </w:r>
      <w:r w:rsidRPr="005A1909">
        <w:rPr>
          <w:lang w:val="fr-CH"/>
        </w:rPr>
        <w:t xml:space="preserve">COMORES </w:t>
      </w:r>
    </w:p>
    <w:p w:rsidR="002A71E0" w:rsidRPr="005A1909" w:rsidP="00CD481B" w14:paraId="65219E27" w14:textId="77777777">
      <w:pPr>
        <w:spacing w:after="240"/>
        <w:rPr>
          <w:lang w:val="fr-CH"/>
        </w:rPr>
      </w:pPr>
      <w:r w:rsidRPr="00016333">
        <w:rPr>
          <w:lang w:val="fr-CH"/>
        </w:rPr>
        <w:t xml:space="preserve">La communication ci-après, présentée au titre de l'article 15.2 de l'Accord sur les obstacles techniques au commerce et datée du </w:t>
      </w:r>
      <w:r w:rsidRPr="005A1909">
        <w:rPr>
          <w:lang w:val="fr-CH"/>
        </w:rPr>
        <w:t>25 juin 2026</w:t>
      </w:r>
      <w:r w:rsidRPr="00016333">
        <w:rPr>
          <w:lang w:val="fr-CH"/>
        </w:rPr>
        <w:t>, a été reçue de la délégation de</w:t>
      </w:r>
      <w:r w:rsidR="008C2C2C">
        <w:rPr>
          <w:lang w:val="fr-CH"/>
        </w:rPr>
        <w:t>s</w:t>
      </w:r>
      <w:r w:rsidRPr="00016333">
        <w:rPr>
          <w:lang w:val="fr-CH"/>
        </w:rPr>
        <w:t xml:space="preserve"> </w:t>
      </w:r>
      <w:r w:rsidRPr="005A1909">
        <w:rPr>
          <w:u w:val="single"/>
          <w:lang w:val="fr-CH"/>
        </w:rPr>
        <w:t>Comores</w:t>
      </w:r>
      <w:r w:rsidRPr="00016333">
        <w:rPr>
          <w:lang w:val="fr-CH"/>
        </w:rPr>
        <w:t xml:space="preserve">. </w:t>
      </w:r>
    </w:p>
    <w:p w:rsidR="00CD481B" w:rsidRPr="00392709" w:rsidP="00CD481B" w14:paraId="55BD21F9" w14:textId="77777777">
      <w:pPr>
        <w:jc w:val="center"/>
        <w:rPr>
          <w:b/>
        </w:rPr>
      </w:pPr>
      <w:r w:rsidRPr="00392709">
        <w:rPr>
          <w:b/>
        </w:rPr>
        <w:t>_______________</w:t>
      </w:r>
    </w:p>
    <w:p w:rsidR="00CD481B" w:rsidP="00CD481B" w14:paraId="53CD2532" w14:textId="77777777"/>
    <w:p w:rsidR="00906997" w:rsidRPr="00906997" w:rsidP="00906997" w14:paraId="0018E3E8" w14:textId="77777777">
      <w:pPr>
        <w:rPr>
          <w:szCs w:val="20"/>
        </w:rPr>
      </w:pPr>
    </w:p>
    <w:p w:rsidR="00795A4B" w:rsidP="00586E46" w14:paraId="55EBEE9B" w14:textId="77777777">
      <w:pPr>
        <w:pStyle w:val="Heading1"/>
      </w:pPr>
      <w:r w:rsidRPr="002575EC">
        <w:t>Mesures de mise en œuvre</w:t>
      </w:r>
    </w:p>
    <w:p w:rsidR="007972BA" w:rsidRPr="005A1909" w:rsidP="00DA350F" w14:paraId="572D9A68" w14:textId="77777777">
      <w:pPr>
        <w:pStyle w:val="BodyText"/>
        <w:rPr>
          <w:lang w:val="fr-CH"/>
        </w:rPr>
      </w:pPr>
      <w:r w:rsidRPr="005A1909">
        <w:rPr>
          <w:lang w:val="fr-CH"/>
        </w:rPr>
        <w:t>Dans le cadre de la notification au titre de l'article 15.2 de l'Accord sur les obstacles techniques au commerce (OTC), les Comores souhaitent informer au Comité OTC du système de règlements technique, de normalisation et d'évaluation de la conformité (essais, inspection, validation, vérification, certification, accréditation et autres) en vigueur dans le pays.</w:t>
      </w:r>
    </w:p>
    <w:p w:rsidR="007972BA" w:rsidRPr="005A1909" w:rsidP="00DA350F" w14:paraId="0B89770E" w14:textId="77777777">
      <w:pPr>
        <w:pStyle w:val="BodyText"/>
        <w:rPr>
          <w:lang w:val="fr-CH"/>
        </w:rPr>
      </w:pPr>
      <w:r w:rsidRPr="005A1909">
        <w:rPr>
          <w:lang w:val="fr-CH"/>
        </w:rPr>
        <w:t>La Direction du Commerce Extérieur au sein du Ministère de l'économie, de l'Industrie et des Investissements (MEII) est le point de notification officiel SPS et OTC des Comores auprès de l'OMC. Le Comité National OTC (CNOTC), est présidé par le Directeur Général de l'Economie et du Commerce qui est aussi sous le MEII.</w:t>
      </w:r>
    </w:p>
    <w:p w:rsidR="007972BA" w:rsidRPr="005A1909" w:rsidP="00DA350F" w14:paraId="33A8FD73" w14:textId="77777777">
      <w:pPr>
        <w:pStyle w:val="BodyText"/>
        <w:rPr>
          <w:lang w:val="fr-CH"/>
        </w:rPr>
      </w:pPr>
      <w:r w:rsidRPr="005A1909">
        <w:rPr>
          <w:lang w:val="fr-CH"/>
        </w:rPr>
        <w:t>La législation nationale pertinente se rapportant à la mise en œuvre et à l'administration des mesures relevant de l'Accord OTC comprend notamment:</w:t>
      </w:r>
    </w:p>
    <w:p w:rsidR="007972BA" w:rsidRPr="005A1909" w:rsidP="00586E46" w14:paraId="750FE271" w14:textId="77777777">
      <w:pPr>
        <w:numPr>
          <w:ilvl w:val="0"/>
          <w:numId w:val="11"/>
        </w:numPr>
        <w:spacing w:before="120" w:after="120"/>
        <w:rPr>
          <w:lang w:val="fr-CH"/>
        </w:rPr>
      </w:pPr>
      <w:r w:rsidRPr="005A1909">
        <w:rPr>
          <w:lang w:val="fr-CH"/>
        </w:rPr>
        <w:t>Le Décret</w:t>
      </w:r>
      <w:r w:rsidR="000E231E">
        <w:rPr>
          <w:lang w:val="fr-CH"/>
        </w:rPr>
        <w:t xml:space="preserve"> </w:t>
      </w:r>
      <w:r w:rsidRPr="005A1909">
        <w:rPr>
          <w:lang w:val="fr-CH"/>
        </w:rPr>
        <w:t>N°25-125/PR du 15-10-2025 portant création mission, organisation et fonctionnement de l'Office Comorien de la Normalisation et de la Métrologie</w:t>
      </w:r>
      <w:r w:rsidR="0076348E">
        <w:rPr>
          <w:lang w:val="fr-CH"/>
        </w:rPr>
        <w:t xml:space="preserve"> </w:t>
      </w:r>
      <w:r w:rsidRPr="005A1909">
        <w:rPr>
          <w:lang w:val="fr-CH"/>
        </w:rPr>
        <w:t>(OCNM);</w:t>
      </w:r>
    </w:p>
    <w:p w:rsidR="007972BA" w:rsidRPr="005A1909" w:rsidP="00586E46" w14:paraId="7D6EF5B2" w14:textId="77777777">
      <w:pPr>
        <w:numPr>
          <w:ilvl w:val="0"/>
          <w:numId w:val="11"/>
        </w:numPr>
        <w:spacing w:before="120" w:after="120"/>
        <w:rPr>
          <w:lang w:val="fr-CH"/>
        </w:rPr>
      </w:pPr>
      <w:r w:rsidRPr="005A1909">
        <w:rPr>
          <w:lang w:val="fr-CH"/>
        </w:rPr>
        <w:t>la Loi n° 95-009 du 20 juin 1995 portant création, organisation et fonctionnement de l'Institut national de recherche pour l'agriculture, la pêche et l'environnement (INRAPE);</w:t>
      </w:r>
    </w:p>
    <w:p w:rsidR="007972BA" w:rsidRPr="005A1909" w:rsidP="00586E46" w14:paraId="24D49631" w14:textId="77777777">
      <w:pPr>
        <w:numPr>
          <w:ilvl w:val="0"/>
          <w:numId w:val="11"/>
        </w:numPr>
        <w:spacing w:before="120" w:after="120"/>
        <w:rPr>
          <w:lang w:val="fr-CH"/>
        </w:rPr>
      </w:pPr>
      <w:r w:rsidRPr="005A1909">
        <w:rPr>
          <w:lang w:val="fr-CH"/>
        </w:rPr>
        <w:t>la Loi n° 94-018 du 22 juin 1994 portant loi-cadre relative à l'environnement, telle que modifiée par la Loi n° 95-007 du 19 juin 1995;</w:t>
      </w:r>
    </w:p>
    <w:p w:rsidR="007972BA" w:rsidRPr="005A1909" w:rsidP="00586E46" w14:paraId="0A929844" w14:textId="77777777">
      <w:pPr>
        <w:numPr>
          <w:ilvl w:val="0"/>
          <w:numId w:val="11"/>
        </w:numPr>
        <w:spacing w:before="120" w:after="120"/>
        <w:rPr>
          <w:lang w:val="fr-CH"/>
        </w:rPr>
      </w:pPr>
      <w:r w:rsidRPr="005A1909">
        <w:rPr>
          <w:lang w:val="fr-CH"/>
        </w:rPr>
        <w:t>le Décret n° 15-05/PR portant création de l'Office national de contrôle qualité et de certification des produits halieutiques (ONCQCPH);</w:t>
      </w:r>
    </w:p>
    <w:p w:rsidR="007972BA" w:rsidRPr="005A1909" w:rsidP="00586E46" w14:paraId="34E8209A" w14:textId="77777777">
      <w:pPr>
        <w:numPr>
          <w:ilvl w:val="0"/>
          <w:numId w:val="11"/>
        </w:numPr>
        <w:spacing w:before="120" w:after="120"/>
        <w:rPr>
          <w:lang w:val="fr-CH"/>
        </w:rPr>
      </w:pPr>
      <w:r w:rsidRPr="005A1909">
        <w:rPr>
          <w:lang w:val="fr-CH"/>
        </w:rPr>
        <w:t>l'Arrêté n° 14/086/MPEEIA et l'Arrêté n° 12/089/MFEBICEP relatifs à l'adoption et à l'application des normes sanitaires et phytosanitaires du Codex Alimentarius;</w:t>
      </w:r>
    </w:p>
    <w:p w:rsidR="007972BA" w:rsidRPr="005A1909" w:rsidP="00586E46" w14:paraId="48377AC1" w14:textId="77777777">
      <w:pPr>
        <w:numPr>
          <w:ilvl w:val="0"/>
          <w:numId w:val="11"/>
        </w:numPr>
        <w:spacing w:before="120" w:after="120"/>
        <w:rPr>
          <w:lang w:val="fr-CH"/>
        </w:rPr>
      </w:pPr>
      <w:r w:rsidRPr="005A1909">
        <w:rPr>
          <w:lang w:val="fr-CH"/>
        </w:rPr>
        <w:t>l'Arrêté n° 011/004 du 7 avril 2011 portant nomination des points focaux sur les barrières non tarifaires (BNT) de la Tripartite COMESA-SADC-EAC;</w:t>
      </w:r>
    </w:p>
    <w:p w:rsidR="007972BA" w:rsidRPr="005A1909" w:rsidP="00586E46" w14:paraId="136D0A8B" w14:textId="77777777">
      <w:pPr>
        <w:numPr>
          <w:ilvl w:val="0"/>
          <w:numId w:val="11"/>
        </w:numPr>
        <w:spacing w:before="120" w:after="120"/>
        <w:rPr>
          <w:lang w:val="fr-CH"/>
        </w:rPr>
      </w:pPr>
      <w:r w:rsidRPr="005A1909">
        <w:rPr>
          <w:lang w:val="fr-CH"/>
        </w:rPr>
        <w:t>l'Arrêté n° 11/02/MRPECE du 3 avril 2011 portant création du Comité national de suivi du processus d'élimination des barrières non tarifaires (BNT);</w:t>
      </w:r>
    </w:p>
    <w:p w:rsidR="007972BA" w:rsidRPr="005A1909" w:rsidP="00586E46" w14:paraId="593A3476" w14:textId="77777777">
      <w:pPr>
        <w:numPr>
          <w:ilvl w:val="0"/>
          <w:numId w:val="11"/>
        </w:numPr>
        <w:spacing w:before="120" w:after="120"/>
        <w:rPr>
          <w:lang w:val="fr-CH"/>
        </w:rPr>
      </w:pPr>
      <w:r w:rsidRPr="005A1909">
        <w:rPr>
          <w:lang w:val="fr-CH"/>
        </w:rPr>
        <w:t xml:space="preserve">l'Arrêté N°19 04 I MEIEIETAPPG/CAB Portant structuration du Comité National des Obstacles Techniques liés au Commerce de </w:t>
      </w:r>
      <w:r w:rsidR="0076348E">
        <w:rPr>
          <w:lang w:val="fr-CH"/>
        </w:rPr>
        <w:t>l'O</w:t>
      </w:r>
      <w:r w:rsidRPr="005A1909">
        <w:rPr>
          <w:lang w:val="fr-CH"/>
        </w:rPr>
        <w:t>rganisation Mondiale du Commerce (OMC)-CNOTC-OTC</w:t>
      </w:r>
      <w:r w:rsidR="000106A5">
        <w:rPr>
          <w:lang w:val="fr-CH"/>
        </w:rPr>
        <w:t xml:space="preserve">; </w:t>
      </w:r>
      <w:r w:rsidRPr="005A1909">
        <w:rPr>
          <w:lang w:val="fr-CH"/>
        </w:rPr>
        <w:t xml:space="preserve"> et</w:t>
      </w:r>
    </w:p>
    <w:p w:rsidR="007972BA" w:rsidRPr="005A1909" w:rsidP="00586E46" w14:paraId="28FB7506" w14:textId="77777777">
      <w:pPr>
        <w:numPr>
          <w:ilvl w:val="0"/>
          <w:numId w:val="11"/>
        </w:numPr>
        <w:spacing w:before="120" w:after="120"/>
        <w:rPr>
          <w:lang w:val="fr-CH"/>
        </w:rPr>
      </w:pPr>
      <w:r w:rsidRPr="005A1909">
        <w:rPr>
          <w:lang w:val="fr-CH"/>
        </w:rPr>
        <w:t>l'Arrêté N°18 016/VP</w:t>
      </w:r>
      <w:r w:rsidRPr="005A1909">
        <w:rPr>
          <w:lang w:val="fr-CH"/>
        </w:rPr>
        <w:softHyphen/>
        <w:t>-MEEIATIPAF/CAB portant nomination du Point d'Information National des OTC de l'OMC.</w:t>
      </w:r>
    </w:p>
    <w:p w:rsidR="007972BA" w:rsidRPr="005A1909" w:rsidP="00DA350F" w14:paraId="51C53F12" w14:textId="77777777">
      <w:pPr>
        <w:pStyle w:val="BodyText"/>
        <w:rPr>
          <w:lang w:val="fr-CH"/>
        </w:rPr>
      </w:pPr>
      <w:r w:rsidRPr="005A1909">
        <w:rPr>
          <w:lang w:val="fr-CH"/>
        </w:rPr>
        <w:t>La Loi sur le commerce extérieur ne contient pas d'éléments propres aux obstacles techniques au commerce.</w:t>
      </w:r>
    </w:p>
    <w:p w:rsidR="007972BA" w:rsidRPr="005A1909" w:rsidP="00DA350F" w14:paraId="171171DB" w14:textId="2E589DC4">
      <w:pPr>
        <w:pStyle w:val="BodyText"/>
        <w:rPr>
          <w:lang w:val="fr-CH"/>
        </w:rPr>
      </w:pPr>
      <w:r w:rsidRPr="005A1909">
        <w:rPr>
          <w:lang w:val="fr-CH"/>
        </w:rPr>
        <w:t>La Politique nationale de la qualité (PNQ), approuvée en 2021, constitue le document de référence en matière de qualité. Elle prévoit le développement progressif de l'ensemble des composantes de l'infrastructure qualité nationale. La PNQ recommande notamment le réexamen et la mise à jour de certains textes législatifs et réglementaires existants, y compris le Décret n°</w:t>
      </w:r>
      <w:r w:rsidR="000D1BAC">
        <w:rPr>
          <w:lang w:val="fr-CH"/>
        </w:rPr>
        <w:t> </w:t>
      </w:r>
      <w:r w:rsidRPr="005A1909">
        <w:rPr>
          <w:lang w:val="fr-CH"/>
        </w:rPr>
        <w:t>99</w:t>
      </w:r>
      <w:r w:rsidR="000D1BAC">
        <w:rPr>
          <w:lang w:val="fr-CH"/>
        </w:rPr>
        <w:noBreakHyphen/>
      </w:r>
      <w:r w:rsidRPr="005A1909">
        <w:rPr>
          <w:lang w:val="fr-CH"/>
        </w:rPr>
        <w:t>087/CE.</w:t>
      </w:r>
    </w:p>
    <w:p w:rsidR="007972BA" w:rsidRPr="005A1909" w:rsidP="00DA350F" w14:paraId="134989A5" w14:textId="77777777">
      <w:pPr>
        <w:pStyle w:val="BodyText"/>
        <w:rPr>
          <w:lang w:val="fr-CH"/>
        </w:rPr>
      </w:pPr>
      <w:r w:rsidRPr="005A1909">
        <w:rPr>
          <w:lang w:val="fr-CH"/>
        </w:rPr>
        <w:t>Les Comores explorent actuellement un projet de loi relative à la qualité, à la normalisation, à la métrologie, à l'accréditation, à la certification et aux règlements techniques, portant création de l'Agence comorienne de normalisation, de métrologie et de la qualité (ACoNorM).</w:t>
      </w:r>
    </w:p>
    <w:p w:rsidR="007972BA" w:rsidRPr="007972BA" w:rsidP="00586E46" w14:paraId="0732436E" w14:textId="77777777">
      <w:pPr>
        <w:pStyle w:val="Heading1"/>
        <w:numPr>
          <w:ilvl w:val="1"/>
          <w:numId w:val="12"/>
        </w:numPr>
      </w:pPr>
      <w:r>
        <w:rPr>
          <w:caps w:val="0"/>
        </w:rPr>
        <w:t>R</w:t>
      </w:r>
      <w:r w:rsidRPr="007972BA">
        <w:rPr>
          <w:caps w:val="0"/>
        </w:rPr>
        <w:t>èglements technique</w:t>
      </w:r>
      <w:r w:rsidR="000E231E">
        <w:rPr>
          <w:caps w:val="0"/>
        </w:rPr>
        <w:t>s</w:t>
      </w:r>
    </w:p>
    <w:p w:rsidR="007972BA" w:rsidRPr="005A1909" w:rsidP="0076348E" w14:paraId="2E518730" w14:textId="77777777">
      <w:pPr>
        <w:pStyle w:val="BodyText"/>
        <w:rPr>
          <w:lang w:val="fr-CH"/>
        </w:rPr>
      </w:pPr>
      <w:r w:rsidRPr="005A1909">
        <w:rPr>
          <w:lang w:val="fr-CH"/>
        </w:rPr>
        <w:t>Les départements gouvernementaux, notamment les ministères tels que le MEII, le ministère de l'Agriculture et de la Pêche, celui de l'Environnement ou encore le ministère de la Santé, ont le pouvoir d'édicter des règlements techniques dans leurs domaines de compétence, soit par voie d</w:t>
      </w:r>
      <w:r w:rsidR="000E231E">
        <w:rPr>
          <w:lang w:val="fr-CH"/>
        </w:rPr>
        <w:t>'</w:t>
      </w:r>
      <w:r w:rsidRPr="005A1909">
        <w:rPr>
          <w:lang w:val="fr-CH"/>
        </w:rPr>
        <w:t>arrêtés ministériels, soit en proposant l'adoption de nouveaux décrets. Un décret doit être approuvé par le Conseil des ministres et signé par le Président, tandis qu'un arrêté ministériel établissant des critères techniques fondés sur un décret préexistant peut être adopté ou modifié directement.</w:t>
      </w:r>
    </w:p>
    <w:p w:rsidR="007972BA" w:rsidRPr="005A1909" w:rsidP="0076348E" w14:paraId="08BC0712" w14:textId="77777777">
      <w:pPr>
        <w:pStyle w:val="BodyText"/>
        <w:rPr>
          <w:lang w:val="fr-CH"/>
        </w:rPr>
      </w:pPr>
      <w:r w:rsidRPr="005A1909">
        <w:rPr>
          <w:lang w:val="fr-CH"/>
        </w:rPr>
        <w:t xml:space="preserve">Les règlements techniques applicables </w:t>
      </w:r>
      <w:r w:rsidR="000E231E">
        <w:rPr>
          <w:lang w:val="fr-CH"/>
        </w:rPr>
        <w:t xml:space="preserve">en </w:t>
      </w:r>
      <w:r w:rsidRPr="005A1909">
        <w:rPr>
          <w:lang w:val="fr-CH"/>
        </w:rPr>
        <w:t>Union des Comores relèvent de plusieurs lois, décrets et arrêtés administrés par les ministères et organismes compétents. Les règlements techniques mis en œuvre dans le pays sont notamment énoncés aux articles 126 à 136 de la Loi n° 17-005/AU sur la législation alimentaire en Union des Comores (ci-après, la « Loi sur les produits alimentaires »). Ces dispositions concernent, entre autres, les œufs, le lait, les produits de la mer et les produits d'eau douce.</w:t>
      </w:r>
    </w:p>
    <w:p w:rsidR="007972BA" w:rsidRPr="005A1909" w:rsidP="0076348E" w14:paraId="3067EDB8" w14:textId="77777777">
      <w:pPr>
        <w:pStyle w:val="BodyText"/>
        <w:rPr>
          <w:lang w:val="fr-CH"/>
        </w:rPr>
      </w:pPr>
      <w:r w:rsidRPr="005A1909">
        <w:rPr>
          <w:lang w:val="fr-CH"/>
        </w:rPr>
        <w:t>Plusieurs dispositions de la Loi sur les produits alimentaires reconnaissent la capacité des organismes gouvernementaux et non gouvernementaux d'évaluer la conformité des marchandises avec les règlements techniques applicables.</w:t>
      </w:r>
    </w:p>
    <w:p w:rsidR="007972BA" w:rsidRPr="005A1909" w:rsidP="0076348E" w14:paraId="1E177DD1" w14:textId="77777777">
      <w:pPr>
        <w:pStyle w:val="BodyText"/>
        <w:rPr>
          <w:lang w:val="fr-CH"/>
        </w:rPr>
      </w:pPr>
      <w:r w:rsidRPr="005A1909">
        <w:rPr>
          <w:lang w:val="fr-CH"/>
        </w:rPr>
        <w:t>L'élaboration des normes et des règlements techniques est ouverte à toutes les parties prenantes. Les normes nationales doivent être élaborées en conformité avec les Accords de l'Organisation mondiale du commerce (OMC). Les parties prenantes étrangères peuvent participer à tout stade du processus d'élaboration des normes, en fonction des besoins nationaux en expertise. Il n'existe pas de restriction à la participation de parties prenantes étrangères disposant d'une expertise reconnue.</w:t>
      </w:r>
    </w:p>
    <w:p w:rsidR="007972BA" w:rsidRPr="005A1909" w:rsidP="0076348E" w14:paraId="064289D4" w14:textId="77777777">
      <w:pPr>
        <w:pStyle w:val="BodyText"/>
        <w:rPr>
          <w:lang w:val="fr-CH"/>
        </w:rPr>
      </w:pPr>
      <w:r w:rsidRPr="005A1909">
        <w:rPr>
          <w:lang w:val="fr-CH"/>
        </w:rPr>
        <w:t xml:space="preserve">Un Comité national OTC a été créé afin de coordonner la mise à jour des règlements techniques et le suivi des questions liées aux obstacles techniques au commerce. Il comprend des représentants de tous les organismes gouvernementaux pertinents ainsi que </w:t>
      </w:r>
      <w:r w:rsidR="001B3925">
        <w:rPr>
          <w:lang w:val="fr-CH"/>
        </w:rPr>
        <w:t>l</w:t>
      </w:r>
      <w:r w:rsidRPr="005A1909">
        <w:rPr>
          <w:lang w:val="fr-CH"/>
        </w:rPr>
        <w:t>a société civile, l'université et le secteur privé. Le Comité national OTC doit être informé des nouveaux projets de règlements techniques et fournit des observations techniques sur leur conformité avant leur notification à l'OMC et leur approbation.</w:t>
      </w:r>
    </w:p>
    <w:p w:rsidR="007972BA" w:rsidRPr="005A1909" w:rsidP="0076348E" w14:paraId="41AE47C2" w14:textId="77777777">
      <w:pPr>
        <w:pStyle w:val="BodyText"/>
        <w:rPr>
          <w:lang w:val="fr-CH"/>
        </w:rPr>
      </w:pPr>
      <w:r w:rsidRPr="005A1909">
        <w:rPr>
          <w:lang w:val="fr-CH"/>
        </w:rPr>
        <w:t>La Direction du commerce extérieur, en tant qu'autorité nationale responsable des notifications, est chargée des notifications à l'OMC. Le Comité national OTC est l'entité gouvernementale chargée de recueillir et de mettre à jour les règlements techniques.</w:t>
      </w:r>
    </w:p>
    <w:p w:rsidR="007972BA" w:rsidRPr="007972BA" w:rsidP="00586E46" w14:paraId="5603AABA" w14:textId="77777777">
      <w:pPr>
        <w:pStyle w:val="Heading1"/>
        <w:numPr>
          <w:ilvl w:val="1"/>
          <w:numId w:val="12"/>
        </w:numPr>
      </w:pPr>
      <w:r>
        <w:rPr>
          <w:caps w:val="0"/>
        </w:rPr>
        <w:t>N</w:t>
      </w:r>
      <w:r w:rsidRPr="0076348E">
        <w:rPr>
          <w:caps w:val="0"/>
        </w:rPr>
        <w:t>ormalisation</w:t>
      </w:r>
    </w:p>
    <w:p w:rsidR="007972BA" w:rsidRPr="005A1909" w:rsidP="0076348E" w14:paraId="65B985D3" w14:textId="77777777">
      <w:pPr>
        <w:pStyle w:val="BodyText"/>
        <w:rPr>
          <w:lang w:val="fr-CH"/>
        </w:rPr>
      </w:pPr>
      <w:r w:rsidRPr="005A1909">
        <w:rPr>
          <w:lang w:val="fr-CH"/>
        </w:rPr>
        <w:t>La normalisation nationale est en cours de structuration dans le cadre de la Politique nationale de la qualité et des réformes institutionnelles engagées par l'Union des Comores.</w:t>
      </w:r>
    </w:p>
    <w:p w:rsidR="007972BA" w:rsidRPr="005A1909" w:rsidP="0076348E" w14:paraId="194FCAD8" w14:textId="77777777">
      <w:pPr>
        <w:pStyle w:val="BodyText"/>
        <w:rPr>
          <w:lang w:val="fr-CH"/>
        </w:rPr>
      </w:pPr>
      <w:r w:rsidRPr="005A1909">
        <w:rPr>
          <w:lang w:val="fr-CH"/>
        </w:rPr>
        <w:t>L'Office comorien de la normalisation et de la métrologie (OCNM) a été créé par le Décret n°</w:t>
      </w:r>
      <w:r w:rsidR="007C502F">
        <w:rPr>
          <w:lang w:val="fr-CH"/>
        </w:rPr>
        <w:t> </w:t>
      </w:r>
      <w:r w:rsidRPr="005A1909">
        <w:rPr>
          <w:lang w:val="fr-CH"/>
        </w:rPr>
        <w:t>25-125/PR du 15 octobre 2025 en fusionnant les fonctions existantes de normalisation et de métrologie</w:t>
      </w:r>
      <w:r w:rsidR="001B3925">
        <w:rPr>
          <w:lang w:val="fr-CH"/>
        </w:rPr>
        <w:t>.</w:t>
      </w:r>
      <w:r w:rsidRPr="005A1909">
        <w:rPr>
          <w:lang w:val="fr-CH"/>
        </w:rPr>
        <w:t xml:space="preserve"> Il constitue l'un des principaux instruments institutionnels de mise en place de l'infrastructure nationale de la qualité. Les Comores ont aussi décidé de remplacer ce décret par une </w:t>
      </w:r>
      <w:r w:rsidRPr="005A1909">
        <w:rPr>
          <w:lang w:val="fr-CH"/>
        </w:rPr>
        <w:t xml:space="preserve">loi plus complète intégrant tous les autres éléments du système de l'infrastructure qualité y compris les règlements techniques. Ce projet de loi est présentement en examen et a déjà été présenté à toutes les parties prenantes pour consultation. Le nouveau projet de loi vise </w:t>
      </w:r>
      <w:r w:rsidRPr="005A1909" w:rsidR="000E231E">
        <w:rPr>
          <w:lang w:val="fr-CH"/>
        </w:rPr>
        <w:t>à</w:t>
      </w:r>
      <w:r w:rsidRPr="005A1909">
        <w:rPr>
          <w:lang w:val="fr-CH"/>
        </w:rPr>
        <w:t xml:space="preserve"> créer l'Agence Comorienne de Normalisation, de Métrologie et de la Qualité (ACoNorM). À ce titre, l'OCNM, et éventuelles l'ACoNorM, a vocation à appuyer l'élaboration, l'adoption et la diffusion des normes nationales, à promouvoir l'harmonisation avec les normes régionales et internationales pertinentes, et à contribuer au développement du système national de métrologie, notamment en matière de traçabilité, de fiabilité des mesures et d'appui au contrôle métrologique. L'OCNM (et la future l'ACoNorM) devrait également jouer un rôle de coordination technique auprès des administrations concernées, des opérateurs économiques et des autres parties prenantes, afin de favoriser l'application cohérente des normes, des exigences métrologiques et, le cas échéant, des règlements techniques liés aux produits ainsi que la surveillance du marché.</w:t>
      </w:r>
    </w:p>
    <w:p w:rsidR="007972BA" w:rsidRPr="005A1909" w:rsidP="0076348E" w14:paraId="2525761F" w14:textId="77777777">
      <w:pPr>
        <w:pStyle w:val="BodyText"/>
        <w:rPr>
          <w:lang w:val="fr-CH"/>
        </w:rPr>
      </w:pPr>
      <w:r w:rsidRPr="005A1909">
        <w:rPr>
          <w:lang w:val="fr-CH"/>
        </w:rPr>
        <w:t>Les activités de normalisation sont menées dans un cadre ouvert à la participation des parties prenantes nationales et, lorsque l'expertise le justifie, des parties prenantes étrangères. Les normes adoptées sont fondées sur les normes internationales pertinentes et sur les normes harmonisées au niveau régional, notamment dans le cadre du COMESA (Marché commun de l'Afrique orientale et australe).</w:t>
      </w:r>
    </w:p>
    <w:p w:rsidR="007972BA" w:rsidRPr="007972BA" w:rsidP="00586E46" w14:paraId="293138D6" w14:textId="77777777">
      <w:pPr>
        <w:pStyle w:val="Heading1"/>
        <w:numPr>
          <w:ilvl w:val="1"/>
          <w:numId w:val="12"/>
        </w:numPr>
      </w:pPr>
      <w:r>
        <w:rPr>
          <w:caps w:val="0"/>
        </w:rPr>
        <w:t>E</w:t>
      </w:r>
      <w:r w:rsidRPr="0076348E">
        <w:rPr>
          <w:caps w:val="0"/>
        </w:rPr>
        <w:t xml:space="preserve">valuation de la </w:t>
      </w:r>
      <w:r w:rsidR="000E231E">
        <w:rPr>
          <w:caps w:val="0"/>
        </w:rPr>
        <w:t>c</w:t>
      </w:r>
      <w:r w:rsidRPr="0076348E">
        <w:rPr>
          <w:caps w:val="0"/>
        </w:rPr>
        <w:t>onformité</w:t>
      </w:r>
    </w:p>
    <w:p w:rsidR="007972BA" w:rsidRPr="005A1909" w:rsidP="0076348E" w14:paraId="605E3EB6" w14:textId="77777777">
      <w:pPr>
        <w:pStyle w:val="BodyText"/>
        <w:rPr>
          <w:lang w:val="fr-CH"/>
        </w:rPr>
      </w:pPr>
      <w:r w:rsidRPr="005A1909">
        <w:rPr>
          <w:lang w:val="fr-CH"/>
        </w:rPr>
        <w:t>L'évaluation de la conformité aux Comores est assurée par les institutions compétentes, conformément aux textes en vigueur et aux missions sectorielles qui leur sont attribuées.</w:t>
      </w:r>
    </w:p>
    <w:p w:rsidR="007972BA" w:rsidRPr="005A1909" w:rsidP="0076348E" w14:paraId="1A98A536" w14:textId="77777777">
      <w:pPr>
        <w:pStyle w:val="BodyText"/>
        <w:rPr>
          <w:lang w:val="fr-CH"/>
        </w:rPr>
      </w:pPr>
      <w:r w:rsidRPr="005A1909">
        <w:rPr>
          <w:lang w:val="fr-CH"/>
        </w:rPr>
        <w:t>Dans le domaine des produits halieutiques, le Décret n° 15-05/PR a créé l'Office national de contrôle qualité et de certification des produits halieutiques (ONCQCPH). Cet organisme contribue au contrôle de la qualité et à la certification des produits de la pêche.</w:t>
      </w:r>
    </w:p>
    <w:p w:rsidR="007972BA" w:rsidRPr="005A1909" w:rsidP="0076348E" w14:paraId="6D06BAF7" w14:textId="77777777">
      <w:pPr>
        <w:pStyle w:val="BodyText"/>
        <w:rPr>
          <w:lang w:val="fr-CH"/>
        </w:rPr>
      </w:pPr>
      <w:r w:rsidRPr="005A1909">
        <w:rPr>
          <w:lang w:val="fr-CH"/>
        </w:rPr>
        <w:t>L'INRAPE, créé par la Loi n° 95-009 du 20 juin 1995, intervient dans les domaines de l'agriculture, de la pêche et de l'environnement.</w:t>
      </w:r>
    </w:p>
    <w:p w:rsidR="007972BA" w:rsidRPr="005A1909" w:rsidP="0076348E" w14:paraId="363F9855" w14:textId="77777777">
      <w:pPr>
        <w:pStyle w:val="BodyText"/>
        <w:rPr>
          <w:lang w:val="fr-CH"/>
        </w:rPr>
      </w:pPr>
      <w:r w:rsidRPr="005A1909">
        <w:rPr>
          <w:lang w:val="fr-CH"/>
        </w:rPr>
        <w:t>La Loi sur les produits alimentaires prévoit également la possibilité pour des organismes gouvernementaux et non gouvernementaux d'évaluer la conformité des marchandises avec les règlements techniques applicables.</w:t>
      </w:r>
    </w:p>
    <w:p w:rsidR="007972BA" w:rsidRPr="005A1909" w:rsidP="0076348E" w14:paraId="40C3BF6F" w14:textId="77777777">
      <w:pPr>
        <w:pStyle w:val="BodyText"/>
        <w:rPr>
          <w:lang w:val="fr-CH"/>
        </w:rPr>
      </w:pPr>
      <w:r w:rsidRPr="005A1909">
        <w:rPr>
          <w:lang w:val="fr-CH"/>
        </w:rPr>
        <w:t>Dans le cadre du renforcement de l'infrastructure nationale de la qualité, les Comores poursuivent le développement des fonctions relatives à la métrologie, à la certification, à l'accréditation et à l'évaluation de la conformité. Le projet de loi relatif à la qualité, à la normalisation, à la métrologie, à l'accréditation, à la certification et aux règlements techniques vise à consolider ce cadre institutionnel.</w:t>
      </w:r>
    </w:p>
    <w:p w:rsidR="007972BA" w:rsidRPr="005A1909" w:rsidP="0076348E" w14:paraId="3093D4E6" w14:textId="77777777">
      <w:pPr>
        <w:pStyle w:val="BodyText"/>
        <w:rPr>
          <w:lang w:val="fr-CH"/>
        </w:rPr>
      </w:pPr>
      <w:r w:rsidRPr="005A1909">
        <w:rPr>
          <w:lang w:val="fr-CH"/>
        </w:rPr>
        <w:t>Du fait de leur appartenance à la SADC, les Comores bénéficieraient des prestations du Service d'accréditation de la SADC (SADCAS), membre à part entière de l'IAF et de l'ILAC. Les Comores prévoient également d'adhérer à la Coopération africaine pour l'accréditation (AFRAC).</w:t>
      </w:r>
    </w:p>
    <w:p w:rsidR="007E447B" w:rsidP="00D92221" w14:paraId="325B51A6" w14:textId="77777777">
      <w:pPr>
        <w:pStyle w:val="Heading1"/>
      </w:pPr>
      <w:r w:rsidRPr="002575EC">
        <w:t>Publication d'un avis</w:t>
      </w:r>
    </w:p>
    <w:p w:rsidR="007E447B" w:rsidRPr="005A1909" w:rsidP="00DA350F" w14:paraId="74581BD4" w14:textId="77777777">
      <w:pPr>
        <w:pStyle w:val="BodyText"/>
        <w:rPr>
          <w:lang w:val="fr-CH"/>
        </w:rPr>
      </w:pPr>
      <w:r w:rsidRPr="005A1909">
        <w:rPr>
          <w:lang w:val="fr-CH"/>
        </w:rPr>
        <w:t>Les projets de règlements techniques sont distribués aux parties intéressées pour observations et consultations avant leur validation finale.</w:t>
      </w:r>
    </w:p>
    <w:p w:rsidR="007E447B" w:rsidRPr="005A1909" w:rsidP="00DA350F" w14:paraId="73307BA3" w14:textId="77777777">
      <w:pPr>
        <w:pStyle w:val="BodyText"/>
        <w:rPr>
          <w:lang w:val="fr-CH"/>
        </w:rPr>
      </w:pPr>
      <w:r w:rsidRPr="005A1909">
        <w:rPr>
          <w:lang w:val="fr-CH"/>
        </w:rPr>
        <w:t>Des ateliers nationaux de validation peuvent également être organisés afin de permettre aux parties prenantes de formuler des observations sur les projets de règlements techniques.</w:t>
      </w:r>
    </w:p>
    <w:p w:rsidR="007E447B" w:rsidRPr="005A1909" w:rsidP="00DA350F" w14:paraId="26042483" w14:textId="77777777">
      <w:pPr>
        <w:pStyle w:val="BodyText"/>
        <w:rPr>
          <w:lang w:val="fr-CH"/>
        </w:rPr>
      </w:pPr>
      <w:r w:rsidRPr="005A1909">
        <w:rPr>
          <w:lang w:val="fr-CH"/>
        </w:rPr>
        <w:t>Le point d'information OTC, avec l'aide et le soutien du Comité national OTC, examine tous les projets de mesures avant leur adoption finale.</w:t>
      </w:r>
    </w:p>
    <w:p w:rsidR="007E447B" w:rsidRPr="005A1909" w:rsidP="00DA350F" w14:paraId="07F978A8" w14:textId="77777777">
      <w:pPr>
        <w:pStyle w:val="BodyText"/>
        <w:rPr>
          <w:lang w:val="fr-CH"/>
        </w:rPr>
      </w:pPr>
      <w:r w:rsidRPr="005A1909">
        <w:rPr>
          <w:lang w:val="fr-CH"/>
        </w:rPr>
        <w:t>Les Comores prévoient en outre d'élaborer des orientations à l'intention des autorités compétentes concernant les délais minimaux applicables aux consultations publiques sur les projets de règlements techniques, en particulier ceux susceptibles d'affecter le commerce et l'investissement.</w:t>
      </w:r>
    </w:p>
    <w:p w:rsidR="00686480" w:rsidRPr="00686480" w:rsidP="00D92221" w14:paraId="089667F4" w14:textId="77777777">
      <w:pPr>
        <w:pStyle w:val="Heading1"/>
        <w:rPr>
          <w:w w:val="105"/>
        </w:rPr>
      </w:pPr>
      <w:r w:rsidRPr="002575EC">
        <w:rPr>
          <w:w w:val="105"/>
        </w:rPr>
        <w:t>Observations</w:t>
      </w:r>
    </w:p>
    <w:p w:rsidR="003D0750" w:rsidRPr="005A1909" w:rsidP="00DA350F" w14:paraId="0D1EA17C" w14:textId="77777777">
      <w:pPr>
        <w:pStyle w:val="BodyText"/>
        <w:rPr>
          <w:lang w:val="fr-CH"/>
        </w:rPr>
      </w:pPr>
      <w:r w:rsidRPr="005A1909">
        <w:rPr>
          <w:lang w:val="fr-CH"/>
        </w:rPr>
        <w:t>Les projets de règlements techniques sont soumis à la consultation des parties intéressées pendant une période d'au moins 60 jours avant leur validation finale.</w:t>
      </w:r>
    </w:p>
    <w:p w:rsidR="003D0750" w:rsidP="00D92221" w14:paraId="6B25BB1B" w14:textId="77777777">
      <w:pPr>
        <w:pStyle w:val="Heading1"/>
      </w:pPr>
      <w:r w:rsidRPr="002575EC">
        <w:t>Publication des textes définitifs</w:t>
      </w:r>
    </w:p>
    <w:p w:rsidR="003D0750" w:rsidRPr="005A1909" w:rsidP="00DA350F" w14:paraId="2187E954" w14:textId="77777777">
      <w:pPr>
        <w:pStyle w:val="BodyText"/>
        <w:rPr>
          <w:lang w:val="fr-CH"/>
        </w:rPr>
      </w:pPr>
      <w:r w:rsidRPr="005A1909">
        <w:rPr>
          <w:lang w:val="fr-CH"/>
        </w:rPr>
        <w:t>Tous les actes officiels sont publiés au Journal officiel et sur son site Web. Le Service du Journal officiel du Secrétariat général du Gouvernement est responsable de la publication des règlements techniques adoptés dans leur version définitive.</w:t>
      </w:r>
    </w:p>
    <w:p w:rsidR="003D0750" w:rsidRPr="005A1909" w:rsidP="00DA350F" w14:paraId="760F125B" w14:textId="77777777">
      <w:pPr>
        <w:pStyle w:val="BodyText"/>
        <w:rPr>
          <w:lang w:val="fr-CH"/>
        </w:rPr>
      </w:pPr>
      <w:r w:rsidRPr="005A1909">
        <w:rPr>
          <w:lang w:val="fr-CH"/>
        </w:rPr>
        <w:t xml:space="preserve">Tous les renseignements relatifs aux règlements techniques sont accessibles à l'adresse suivante: </w:t>
      </w:r>
      <w:hyperlink r:id="rId7" w:history="1">
        <w:r w:rsidRPr="005A1909">
          <w:rPr>
            <w:color w:val="0000FF"/>
            <w:u w:val="single"/>
            <w:lang w:val="fr-CH"/>
          </w:rPr>
          <w:t>www.mung5anyo.km</w:t>
        </w:r>
      </w:hyperlink>
      <w:r w:rsidRPr="005A1909">
        <w:rPr>
          <w:lang w:val="fr-CH"/>
        </w:rPr>
        <w:t>.</w:t>
      </w:r>
    </w:p>
    <w:p w:rsidR="00195DA8" w:rsidP="00D92221" w14:paraId="3B401AE7" w14:textId="77777777">
      <w:pPr>
        <w:pStyle w:val="Heading1"/>
      </w:pPr>
      <w:bookmarkStart w:id="0" w:name="_Hlk152148747"/>
      <w:r w:rsidRPr="002575EC">
        <w:t>Coordonnées</w:t>
      </w:r>
      <w:r>
        <w:rPr>
          <w:rStyle w:val="FootnoteReference"/>
        </w:rPr>
        <w:footnoteReference w:id="2"/>
      </w:r>
    </w:p>
    <w:p w:rsidR="00686480" w:rsidRPr="008B7F72" w:rsidP="006C3955" w14:paraId="2554F4D9" w14:textId="77777777">
      <w:pPr>
        <w:tabs>
          <w:tab w:val="left" w:pos="3060"/>
        </w:tabs>
        <w:spacing w:after="120"/>
        <w:rPr>
          <w:b/>
          <w:bCs/>
        </w:rPr>
      </w:pPr>
      <w:r w:rsidRPr="008B7F72">
        <w:rPr>
          <w:b/>
          <w:bCs/>
        </w:rPr>
        <w:t xml:space="preserve">(i) </w:t>
      </w:r>
      <w:r w:rsidRPr="002575EC" w:rsidR="002575EC">
        <w:rPr>
          <w:b/>
          <w:bCs/>
        </w:rPr>
        <w:t>Point(s) d'information</w:t>
      </w:r>
      <w:r w:rsidRPr="008B7F72" w:rsidR="006C3955">
        <w:rPr>
          <w:b/>
          <w:bCs/>
          <w:color w:val="365F91" w:themeColor="accent1" w:themeShade="BF"/>
        </w:rPr>
        <w:tab/>
      </w:r>
    </w:p>
    <w:p w:rsidR="004A266B" w:rsidRPr="00686480" w:rsidP="00DA350F" w14:paraId="4741F602" w14:textId="77777777">
      <w:pPr>
        <w:jc w:val="left"/>
      </w:pPr>
      <w:r w:rsidRPr="00686480">
        <w:t>M. Boinali Mohamed</w:t>
      </w:r>
    </w:p>
    <w:p w:rsidR="004A266B" w:rsidRPr="005A1909" w:rsidP="00DA350F" w14:paraId="48878803" w14:textId="77777777">
      <w:pPr>
        <w:jc w:val="left"/>
        <w:rPr>
          <w:lang w:val="fr-CH"/>
        </w:rPr>
      </w:pPr>
      <w:r w:rsidRPr="005A1909">
        <w:rPr>
          <w:lang w:val="fr-CH"/>
        </w:rPr>
        <w:t>Chef de service de normalisation et de la qualité au sein de la Direction de l'industrie</w:t>
      </w:r>
    </w:p>
    <w:p w:rsidR="004A266B" w:rsidRPr="005A1909" w:rsidP="00DA350F" w14:paraId="1279BA67" w14:textId="77777777">
      <w:pPr>
        <w:jc w:val="left"/>
        <w:rPr>
          <w:lang w:val="fr-CH"/>
        </w:rPr>
      </w:pPr>
      <w:r w:rsidRPr="005A1909">
        <w:rPr>
          <w:lang w:val="fr-CH"/>
        </w:rPr>
        <w:t>Ministère de l'économie, des investissements, de l'industrie, chargé de l'integration régionale</w:t>
      </w:r>
    </w:p>
    <w:p w:rsidR="004A266B" w:rsidRPr="005A1909" w:rsidP="00DA350F" w14:paraId="62F0B6B1" w14:textId="77777777">
      <w:pPr>
        <w:jc w:val="left"/>
        <w:rPr>
          <w:lang w:val="fr-CH"/>
        </w:rPr>
      </w:pPr>
      <w:r w:rsidRPr="005A1909">
        <w:rPr>
          <w:lang w:val="fr-CH"/>
        </w:rPr>
        <w:t>Téléphone: +(269) 3350974 / 4960685</w:t>
      </w:r>
    </w:p>
    <w:p w:rsidR="004A266B" w:rsidRPr="000106A5" w:rsidP="00DA350F" w14:paraId="479D83C2" w14:textId="77777777">
      <w:pPr>
        <w:jc w:val="left"/>
        <w:rPr>
          <w:lang w:val="fr-CH"/>
        </w:rPr>
      </w:pPr>
      <w:r w:rsidRPr="005A1909">
        <w:rPr>
          <w:lang w:val="fr-CH"/>
        </w:rPr>
        <w:t xml:space="preserve">Courrier électronique: </w:t>
      </w:r>
      <w:hyperlink r:id="rId8" w:history="1">
        <w:r w:rsidRPr="005A1909">
          <w:rPr>
            <w:color w:val="0000FF"/>
            <w:u w:val="single"/>
            <w:lang w:val="fr-CH"/>
          </w:rPr>
          <w:t>zaboinamed2014@gmail.com</w:t>
        </w:r>
      </w:hyperlink>
    </w:p>
    <w:p w:rsidR="00DA350F" w:rsidRPr="005A1909" w:rsidP="00DA350F" w14:paraId="00D4930E" w14:textId="77777777">
      <w:pPr>
        <w:jc w:val="left"/>
        <w:rPr>
          <w:lang w:val="fr-CH"/>
        </w:rPr>
      </w:pPr>
    </w:p>
    <w:bookmarkEnd w:id="0"/>
    <w:p w:rsidR="00686480" w:rsidRPr="005A1909" w:rsidP="00686480" w14:paraId="761A30F0" w14:textId="77777777">
      <w:pPr>
        <w:spacing w:after="120"/>
        <w:rPr>
          <w:b/>
          <w:bCs/>
          <w:lang w:val="fr-CH"/>
        </w:rPr>
      </w:pPr>
      <w:r w:rsidRPr="005A1909">
        <w:rPr>
          <w:b/>
          <w:bCs/>
          <w:lang w:val="fr-CH"/>
        </w:rPr>
        <w:t xml:space="preserve">(ii) </w:t>
      </w:r>
      <w:r w:rsidRPr="005A1909" w:rsidR="002575EC">
        <w:rPr>
          <w:b/>
          <w:bCs/>
          <w:lang w:val="fr-CH"/>
        </w:rPr>
        <w:t>Autorité responsable des notifications</w:t>
      </w:r>
    </w:p>
    <w:p w:rsidR="00C408D1" w:rsidRPr="005A1909" w:rsidP="003A0337" w14:paraId="65D45183" w14:textId="77777777">
      <w:pPr>
        <w:spacing w:after="240"/>
        <w:jc w:val="left"/>
        <w:rPr>
          <w:lang w:val="fr-CH"/>
        </w:rPr>
      </w:pPr>
      <w:r w:rsidRPr="005A1909">
        <w:rPr>
          <w:lang w:val="fr-CH"/>
        </w:rPr>
        <w:t>Idem que le point d'information</w:t>
      </w:r>
    </w:p>
    <w:p w:rsidR="003A0337" w:rsidRPr="005A1909" w:rsidP="003A0337" w14:paraId="1D47EA61" w14:textId="77777777">
      <w:pPr>
        <w:jc w:val="left"/>
        <w:rPr>
          <w:lang w:val="fr-CH"/>
        </w:rPr>
      </w:pPr>
    </w:p>
    <w:p w:rsidR="00686480" w:rsidRPr="00686480" w:rsidP="00D92221" w14:paraId="6AF75245" w14:textId="77777777">
      <w:pPr>
        <w:pStyle w:val="Heading1"/>
      </w:pPr>
      <w:r w:rsidRPr="002575EC">
        <w:t>Renseignements additionnels</w:t>
      </w:r>
    </w:p>
    <w:p w:rsidR="009A0597" w:rsidRPr="005A1909" w:rsidP="00DA350F" w14:paraId="2D1C0266" w14:textId="77777777">
      <w:pPr>
        <w:pStyle w:val="BodyText"/>
        <w:rPr>
          <w:lang w:val="fr-CH"/>
        </w:rPr>
      </w:pPr>
      <w:r w:rsidRPr="005A1909">
        <w:rPr>
          <w:lang w:val="fr-CH"/>
        </w:rPr>
        <w:t>Les Comores n'ont pas encore communiqué l'acceptation du code de pratique pour l'élaboration, l'adoption et l'application des normes, et cela sera fait ainsi que la décision soit prise l'autorité de normalisation du pays.</w:t>
      </w:r>
    </w:p>
    <w:p w:rsidR="009A0597" w:rsidRPr="005A1909" w:rsidP="00DA350F" w14:paraId="2694DB19" w14:textId="77777777">
      <w:pPr>
        <w:pStyle w:val="BodyText"/>
        <w:rPr>
          <w:lang w:val="fr-CH"/>
        </w:rPr>
      </w:pPr>
      <w:r w:rsidRPr="005A1909">
        <w:rPr>
          <w:lang w:val="fr-CH"/>
        </w:rPr>
        <w:t>Les Comores ne sont présentement pas membre de l'Organisation internationale de normalisation (ISO), ni de l'Organisation internationale de métrologie légale (OIML et ni de l'Organisation africaine de normalisation (ARSO). Ils sont membres correspondant de l'Institut de normalisation et de métrologie pour les pays islamiques (SMIIC).</w:t>
      </w:r>
    </w:p>
    <w:p w:rsidR="009A0597" w:rsidRPr="005A1909" w:rsidP="00DA350F" w14:paraId="37A611F8" w14:textId="77777777">
      <w:pPr>
        <w:pStyle w:val="BodyText"/>
        <w:rPr>
          <w:lang w:val="fr-CH"/>
        </w:rPr>
      </w:pPr>
      <w:r w:rsidRPr="005A1909">
        <w:rPr>
          <w:lang w:val="fr-CH"/>
        </w:rPr>
        <w:t>Les Comores participent aux processus régionaux d'harmonisation des normes et de réduction des obstacles non tarifaires, notamment dans le cadre du COMESA, de la SADC (bien que temporairement suspendus de cette instance) et de la Tripartite COMESA-SADC-EAC.</w:t>
      </w:r>
    </w:p>
    <w:p w:rsidR="00A42354" w:rsidRPr="005A1909" w:rsidP="00A42354" w14:paraId="790C204C" w14:textId="77777777">
      <w:pPr>
        <w:jc w:val="left"/>
        <w:rPr>
          <w:lang w:val="fr-CH"/>
        </w:rPr>
      </w:pPr>
    </w:p>
    <w:p w:rsidR="00A42354" w:rsidRPr="00A42354" w:rsidP="00A42354" w14:paraId="613FEF34" w14:textId="77777777">
      <w:pPr>
        <w:jc w:val="center"/>
        <w:rPr>
          <w:bCs/>
        </w:rPr>
      </w:pPr>
      <w:r w:rsidRPr="00CA7CA2">
        <w:rPr>
          <w:bCs/>
        </w:rPr>
        <w:t>__________</w:t>
      </w:r>
    </w:p>
    <w:sectPr w:rsidSect="00BE5C94">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FB7CC7" w:rsidP="00FB7CC7" w14:paraId="5D5DD7C2"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FB7CC7" w:rsidP="00FB7CC7" w14:paraId="32291B93" w14:textId="777777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BD0" w14:paraId="6959CA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21C5" w:rsidP="00ED54E0" w14:paraId="4DC14F3F" w14:textId="77777777">
      <w:r>
        <w:separator/>
      </w:r>
    </w:p>
  </w:footnote>
  <w:footnote w:type="continuationSeparator" w:id="1">
    <w:p w:rsidR="009221C5" w:rsidP="00ED54E0" w14:paraId="77321069" w14:textId="77777777">
      <w:r>
        <w:continuationSeparator/>
      </w:r>
    </w:p>
  </w:footnote>
  <w:footnote w:id="2">
    <w:p w:rsidR="001E7870" w:rsidRPr="001E7870" w14:paraId="205207B8" w14:textId="77777777">
      <w:pPr>
        <w:pStyle w:val="FootnoteText"/>
        <w:rPr>
          <w:lang w:val="en-US"/>
        </w:rPr>
      </w:pPr>
      <w:r>
        <w:rPr>
          <w:rStyle w:val="FootnoteReference"/>
        </w:rPr>
        <w:footnoteRef/>
      </w:r>
      <w:r w:rsidRPr="005A1909">
        <w:rPr>
          <w:lang w:val="fr-CH"/>
        </w:rPr>
        <w:t xml:space="preserve"> </w:t>
      </w:r>
      <w:r w:rsidR="00077DC5">
        <w:rPr>
          <w:rStyle w:val="ui-provider"/>
          <w:lang w:val="fr-FR"/>
        </w:rPr>
        <w:t>Les coordonnées du</w:t>
      </w:r>
      <w:r w:rsidRPr="00DB205A" w:rsidR="00077DC5">
        <w:rPr>
          <w:rStyle w:val="ui-provider"/>
          <w:lang w:val="fr-FR"/>
        </w:rPr>
        <w:t xml:space="preserve"> point </w:t>
      </w:r>
      <w:r w:rsidR="00077DC5">
        <w:rPr>
          <w:rStyle w:val="ui-provider"/>
          <w:lang w:val="fr-FR"/>
        </w:rPr>
        <w:t>d'information et autorité chargée des notifications peuvent être mises à jour ultérieurement après la distribution de la présente</w:t>
      </w:r>
      <w:r w:rsidRPr="00DB205A" w:rsidR="00077DC5">
        <w:rPr>
          <w:rStyle w:val="ui-provider"/>
          <w:lang w:val="fr-FR"/>
        </w:rPr>
        <w:t xml:space="preserve"> notification. </w:t>
      </w:r>
      <w:r w:rsidR="00077DC5">
        <w:rPr>
          <w:rStyle w:val="ui-provider"/>
          <w:lang w:val="fr-FR"/>
        </w:rPr>
        <w:t>Les renseignements</w:t>
      </w:r>
      <w:r w:rsidRPr="00DB205A" w:rsidR="00077DC5">
        <w:rPr>
          <w:rStyle w:val="ui-provider"/>
          <w:lang w:val="fr-FR"/>
        </w:rPr>
        <w:t xml:space="preserve"> </w:t>
      </w:r>
      <w:r w:rsidR="00077DC5">
        <w:rPr>
          <w:rStyle w:val="ui-provider"/>
          <w:lang w:val="fr-FR"/>
        </w:rPr>
        <w:t>les plus récents sont disponibles sur</w:t>
      </w:r>
      <w:r w:rsidRPr="00DB205A" w:rsidR="00077DC5">
        <w:rPr>
          <w:rStyle w:val="ui-provider"/>
          <w:lang w:val="fr-FR"/>
        </w:rPr>
        <w:t xml:space="preserve"> </w:t>
      </w:r>
      <w:hyperlink r:id="rId1" w:history="1">
        <w:r w:rsidRPr="00DB205A" w:rsidR="00077DC5">
          <w:rPr>
            <w:rStyle w:val="Hyperlink"/>
            <w:color w:val="0000FF"/>
            <w:lang w:val="fr-FR"/>
          </w:rPr>
          <w:t>ePing</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CC7" w:rsidRPr="007C502F" w:rsidP="00FB7CC7" w14:paraId="70FA084E" w14:textId="77777777">
    <w:pPr>
      <w:pStyle w:val="Header"/>
      <w:pBdr>
        <w:bottom w:val="single" w:sz="4" w:space="1" w:color="auto"/>
      </w:pBdr>
      <w:tabs>
        <w:tab w:val="clear" w:pos="4513"/>
        <w:tab w:val="clear" w:pos="9027"/>
      </w:tabs>
      <w:jc w:val="center"/>
      <w:rPr>
        <w:bCs/>
      </w:rPr>
    </w:pPr>
    <w:r w:rsidRPr="007C502F">
      <w:rPr>
        <w:bCs/>
        <w:szCs w:val="16"/>
      </w:rPr>
      <w:t>G/TBT/15.2/N/COM</w:t>
    </w:r>
  </w:p>
  <w:p w:rsidR="00FB7CC7" w:rsidRPr="007C502F" w:rsidP="00FB7CC7" w14:paraId="431D98D7" w14:textId="77777777">
    <w:pPr>
      <w:pStyle w:val="Header"/>
      <w:pBdr>
        <w:bottom w:val="single" w:sz="4" w:space="1" w:color="auto"/>
      </w:pBdr>
      <w:tabs>
        <w:tab w:val="clear" w:pos="4513"/>
        <w:tab w:val="clear" w:pos="9027"/>
      </w:tabs>
      <w:jc w:val="center"/>
      <w:rPr>
        <w:bCs/>
      </w:rPr>
    </w:pPr>
  </w:p>
  <w:p w:rsidR="00FB7CC7" w:rsidRPr="00FB7CC7" w:rsidP="00FB7CC7" w14:paraId="617D375C" w14:textId="77777777">
    <w:pPr>
      <w:pStyle w:val="Header"/>
      <w:pBdr>
        <w:bottom w:val="single" w:sz="4" w:space="1" w:color="auto"/>
      </w:pBdr>
      <w:tabs>
        <w:tab w:val="clear" w:pos="4513"/>
        <w:tab w:val="clear" w:pos="9027"/>
      </w:tabs>
      <w:jc w:val="center"/>
    </w:pPr>
    <w:r w:rsidRPr="00FB7CC7">
      <w:t xml:space="preserve">- </w:t>
    </w:r>
    <w:r w:rsidRPr="00FB7CC7">
      <w:fldChar w:fldCharType="begin"/>
    </w:r>
    <w:r w:rsidRPr="00FB7CC7">
      <w:instrText xml:space="preserve"> PAGE </w:instrText>
    </w:r>
    <w:r w:rsidRPr="00FB7CC7">
      <w:fldChar w:fldCharType="separate"/>
    </w:r>
    <w:r w:rsidRPr="00FB7CC7">
      <w:t>4</w:t>
    </w:r>
    <w:r w:rsidRPr="00FB7CC7">
      <w:fldChar w:fldCharType="end"/>
    </w:r>
    <w:r w:rsidRPr="00FB7CC7">
      <w:t xml:space="preserve"> -</w:t>
    </w:r>
  </w:p>
  <w:p w:rsidR="00544326" w:rsidRPr="00FB7CC7" w:rsidP="00FB7CC7" w14:paraId="1BC1BAA9"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CC7" w:rsidRPr="00FB7CC7" w:rsidP="00FB7CC7" w14:paraId="37ED0B0B" w14:textId="77777777">
    <w:pPr>
      <w:pStyle w:val="Header"/>
      <w:pBdr>
        <w:bottom w:val="single" w:sz="4" w:space="1" w:color="auto"/>
      </w:pBdr>
      <w:tabs>
        <w:tab w:val="clear" w:pos="4513"/>
        <w:tab w:val="clear" w:pos="9027"/>
      </w:tabs>
      <w:jc w:val="center"/>
    </w:pPr>
    <w:r w:rsidRPr="00FB7CC7">
      <w:t>G/TBT/15.2/N</w:t>
    </w:r>
    <w:r w:rsidR="00373D13">
      <w:t>/COM</w:t>
    </w:r>
  </w:p>
  <w:p w:rsidR="00FB7CC7" w:rsidRPr="00FB7CC7" w:rsidP="00FB7CC7" w14:paraId="1BCD67C2" w14:textId="77777777">
    <w:pPr>
      <w:pStyle w:val="Header"/>
      <w:pBdr>
        <w:bottom w:val="single" w:sz="4" w:space="1" w:color="auto"/>
      </w:pBdr>
      <w:tabs>
        <w:tab w:val="clear" w:pos="4513"/>
        <w:tab w:val="clear" w:pos="9027"/>
      </w:tabs>
      <w:jc w:val="center"/>
    </w:pPr>
  </w:p>
  <w:p w:rsidR="00FB7CC7" w:rsidRPr="00FB7CC7" w:rsidP="00FB7CC7" w14:paraId="3212513F" w14:textId="77777777">
    <w:pPr>
      <w:pStyle w:val="Header"/>
      <w:pBdr>
        <w:bottom w:val="single" w:sz="4" w:space="1" w:color="auto"/>
      </w:pBdr>
      <w:tabs>
        <w:tab w:val="clear" w:pos="4513"/>
        <w:tab w:val="clear" w:pos="9027"/>
      </w:tabs>
      <w:jc w:val="center"/>
    </w:pPr>
    <w:r w:rsidRPr="00FB7CC7">
      <w:t xml:space="preserve">- </w:t>
    </w:r>
    <w:r w:rsidRPr="00FB7CC7">
      <w:fldChar w:fldCharType="begin"/>
    </w:r>
    <w:r w:rsidRPr="00FB7CC7">
      <w:instrText xml:space="preserve"> PAGE </w:instrText>
    </w:r>
    <w:r w:rsidRPr="00FB7CC7">
      <w:fldChar w:fldCharType="separate"/>
    </w:r>
    <w:r w:rsidRPr="00FB7CC7">
      <w:t>3</w:t>
    </w:r>
    <w:r w:rsidRPr="00FB7CC7">
      <w:fldChar w:fldCharType="end"/>
    </w:r>
    <w:r w:rsidRPr="00FB7CC7">
      <w:t xml:space="preserve"> -</w:t>
    </w:r>
  </w:p>
  <w:p w:rsidR="00544326" w:rsidRPr="00FB7CC7" w:rsidP="00FB7CC7" w14:paraId="03C3BA94"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5E6ACFE" w14:textId="77777777" w:rsidTr="00544326">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182B84" w:rsidP="00425DC5" w14:paraId="7FF07F25"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182B84" w:rsidP="00425DC5" w14:paraId="484ABAA2" w14:textId="77777777">
          <w:pPr>
            <w:jc w:val="right"/>
            <w:rPr>
              <w:b/>
              <w:color w:val="FF0000"/>
              <w:szCs w:val="16"/>
            </w:rPr>
          </w:pPr>
          <w:r>
            <w:rPr>
              <w:b/>
              <w:color w:val="FF0000"/>
              <w:szCs w:val="16"/>
            </w:rPr>
            <w:t xml:space="preserve"> </w:t>
          </w:r>
        </w:p>
      </w:tc>
    </w:tr>
    <w:bookmarkEnd w:id="1"/>
    <w:tr w14:paraId="7889F163" w14:textId="77777777" w:rsidTr="00544326">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182B84" w:rsidP="00425DC5" w14:paraId="2D878BCE" w14:textId="77777777">
          <w:pPr>
            <w:jc w:val="left"/>
          </w:pPr>
          <w:r w:rsidRPr="00182B84">
            <w:rPr>
              <w:noProof/>
              <w:lang w:val="en-US"/>
            </w:rPr>
            <w:drawing>
              <wp:inline distT="0" distB="0" distL="0" distR="0">
                <wp:extent cx="2361486" cy="716280"/>
                <wp:effectExtent l="0" t="0" r="1270" b="7620"/>
                <wp:docPr id="2480245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24502"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61486"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182B84" w:rsidP="00425DC5" w14:paraId="440B174E" w14:textId="77777777">
          <w:pPr>
            <w:jc w:val="right"/>
            <w:rPr>
              <w:b/>
              <w:szCs w:val="16"/>
            </w:rPr>
          </w:pPr>
        </w:p>
      </w:tc>
    </w:tr>
    <w:tr w14:paraId="059ACE68" w14:textId="77777777" w:rsidTr="00544326">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182B84" w:rsidP="00425DC5" w14:paraId="5EFE4BF0" w14:textId="77777777">
          <w:pPr>
            <w:jc w:val="left"/>
            <w:rPr>
              <w:noProof/>
              <w:lang w:eastAsia="en-GB"/>
            </w:rPr>
          </w:pPr>
        </w:p>
      </w:tc>
      <w:tc>
        <w:tcPr>
          <w:tcW w:w="5448" w:type="dxa"/>
          <w:gridSpan w:val="2"/>
          <w:shd w:val="clear" w:color="auto" w:fill="FFFFFF"/>
          <w:tcMar>
            <w:left w:w="108" w:type="dxa"/>
            <w:right w:w="108" w:type="dxa"/>
          </w:tcMar>
        </w:tcPr>
        <w:p w:rsidR="00FB7CC7" w:rsidP="00425DC5" w14:paraId="5CB42275" w14:textId="77777777">
          <w:pPr>
            <w:jc w:val="right"/>
            <w:rPr>
              <w:b/>
              <w:szCs w:val="16"/>
            </w:rPr>
          </w:pPr>
          <w:bookmarkStart w:id="2" w:name="bmkSymbols"/>
          <w:r>
            <w:rPr>
              <w:b/>
              <w:szCs w:val="16"/>
            </w:rPr>
            <w:t>G/TBT/15.2/N/COM</w:t>
          </w:r>
          <w:bookmarkEnd w:id="2"/>
        </w:p>
      </w:tc>
    </w:tr>
    <w:tr w14:paraId="4CB72A2F" w14:textId="77777777" w:rsidTr="00544326">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182B84" w:rsidP="00425DC5" w14:paraId="1EED0E7A" w14:textId="77777777"/>
      </w:tc>
      <w:tc>
        <w:tcPr>
          <w:tcW w:w="5448" w:type="dxa"/>
          <w:gridSpan w:val="2"/>
          <w:shd w:val="clear" w:color="auto" w:fill="FFFFFF"/>
          <w:tcMar>
            <w:left w:w="108" w:type="dxa"/>
            <w:right w:w="108" w:type="dxa"/>
          </w:tcMar>
          <w:vAlign w:val="center"/>
        </w:tcPr>
        <w:p w:rsidR="00ED54E0" w:rsidRPr="00182B84" w:rsidP="00425DC5" w14:paraId="0751159F" w14:textId="26CAA700">
          <w:pPr>
            <w:jc w:val="right"/>
            <w:rPr>
              <w:szCs w:val="16"/>
            </w:rPr>
          </w:pPr>
          <w:r>
            <w:rPr>
              <w:szCs w:val="16"/>
            </w:rPr>
            <w:t xml:space="preserve">29 </w:t>
          </w:r>
          <w:r w:rsidR="009F7FDA">
            <w:rPr>
              <w:szCs w:val="16"/>
            </w:rPr>
            <w:t>j</w:t>
          </w:r>
          <w:r>
            <w:rPr>
              <w:szCs w:val="16"/>
            </w:rPr>
            <w:t>u</w:t>
          </w:r>
          <w:r w:rsidR="00224499">
            <w:rPr>
              <w:szCs w:val="16"/>
            </w:rPr>
            <w:t xml:space="preserve">in </w:t>
          </w:r>
          <w:r>
            <w:rPr>
              <w:szCs w:val="16"/>
            </w:rPr>
            <w:t>2026</w:t>
          </w:r>
        </w:p>
      </w:tc>
    </w:tr>
    <w:tr w14:paraId="4937D210" w14:textId="77777777" w:rsidTr="00544326">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182B84" w:rsidP="006A2185" w14:paraId="29DA3A79" w14:textId="77777777">
          <w:pPr>
            <w:jc w:val="left"/>
            <w:rPr>
              <w:b/>
            </w:rPr>
          </w:pPr>
          <w:bookmarkStart w:id="3" w:name="bmkSerial" w:colFirst="0" w:colLast="0"/>
          <w:r>
            <w:rPr>
              <w:rFonts w:ascii="Verdana" w:eastAsia="Verdana" w:hAnsi="Verdana" w:cs="Verdana"/>
              <w:b w:val="0"/>
              <w:color w:val="FF0000"/>
              <w:sz w:val="18"/>
            </w:rPr>
            <w:t>(26-4693)</w:t>
          </w:r>
        </w:p>
      </w:tc>
      <w:tc>
        <w:tcPr>
          <w:tcW w:w="3325" w:type="dxa"/>
          <w:tcBorders>
            <w:bottom w:val="single" w:sz="4" w:space="0" w:color="auto"/>
          </w:tcBorders>
          <w:tcMar>
            <w:top w:w="0" w:type="dxa"/>
            <w:left w:w="108" w:type="dxa"/>
            <w:bottom w:w="57" w:type="dxa"/>
            <w:right w:w="108" w:type="dxa"/>
          </w:tcMar>
          <w:vAlign w:val="bottom"/>
        </w:tcPr>
        <w:p w:rsidR="00ED54E0" w:rsidRPr="00182B84" w:rsidP="00425DC5" w14:paraId="3401EEED" w14:textId="77777777">
          <w:pPr>
            <w:jc w:val="right"/>
            <w:rPr>
              <w:szCs w:val="16"/>
            </w:rPr>
          </w:pPr>
          <w:bookmarkStart w:id="4" w:name="bmkTotPages"/>
          <w:r w:rsidRPr="00182B84">
            <w:rPr>
              <w:bCs/>
              <w:szCs w:val="16"/>
            </w:rPr>
            <w:t>Page:</w:t>
          </w:r>
          <w:r w:rsidR="00373D13">
            <w:rPr>
              <w:bCs/>
              <w:szCs w:val="16"/>
            </w:rPr>
            <w:t xml:space="preserve"> 1/4</w:t>
          </w:r>
          <w:r w:rsidRPr="00182B84">
            <w:rPr>
              <w:bCs/>
              <w:szCs w:val="16"/>
            </w:rPr>
            <w:t xml:space="preserve"> </w:t>
          </w:r>
          <w:bookmarkEnd w:id="4"/>
        </w:p>
      </w:tc>
    </w:tr>
    <w:tr w14:paraId="7E340A37" w14:textId="77777777" w:rsidTr="00544326">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5A1909" w:rsidP="00425DC5" w14:paraId="7D829317" w14:textId="77777777">
          <w:pPr>
            <w:jc w:val="left"/>
            <w:rPr>
              <w:sz w:val="14"/>
              <w:szCs w:val="16"/>
              <w:lang w:val="fr-CH"/>
            </w:rPr>
          </w:pPr>
          <w:bookmarkStart w:id="5" w:name="bmkCommittee"/>
          <w:bookmarkStart w:id="6" w:name="bmkLanguage" w:colFirst="1" w:colLast="1"/>
          <w:bookmarkEnd w:id="3"/>
          <w:r w:rsidRPr="005A1909">
            <w:rPr>
              <w:b/>
              <w:szCs w:val="18"/>
              <w:lang w:val="fr-CH"/>
            </w:rPr>
            <w:t>Comité des obstacles techniques au commerce</w:t>
          </w:r>
          <w:bookmarkEnd w:id="5"/>
        </w:p>
      </w:tc>
      <w:tc>
        <w:tcPr>
          <w:tcW w:w="3325" w:type="dxa"/>
          <w:tcBorders>
            <w:top w:val="single" w:sz="4" w:space="0" w:color="auto"/>
          </w:tcBorders>
          <w:tcMar>
            <w:top w:w="113" w:type="dxa"/>
            <w:left w:w="108" w:type="dxa"/>
            <w:bottom w:w="57" w:type="dxa"/>
            <w:right w:w="108" w:type="dxa"/>
          </w:tcMar>
          <w:vAlign w:val="center"/>
        </w:tcPr>
        <w:p w:rsidR="00ED54E0" w:rsidRPr="00182B84" w:rsidP="00425DC5" w14:paraId="1551CD0C" w14:textId="77777777">
          <w:pPr>
            <w:jc w:val="right"/>
            <w:rPr>
              <w:bCs/>
              <w:szCs w:val="18"/>
            </w:rPr>
          </w:pPr>
          <w:r>
            <w:rPr>
              <w:szCs w:val="18"/>
            </w:rPr>
            <w:t>Original:</w:t>
          </w:r>
          <w:r w:rsidR="00970DA0">
            <w:rPr>
              <w:szCs w:val="18"/>
            </w:rPr>
            <w:t xml:space="preserve"> français</w:t>
          </w:r>
          <w:r>
            <w:rPr>
              <w:szCs w:val="18"/>
            </w:rPr>
            <w:t xml:space="preserve"> </w:t>
          </w:r>
        </w:p>
      </w:tc>
    </w:tr>
    <w:bookmarkEnd w:id="6"/>
  </w:tbl>
  <w:p w:rsidR="00ED54E0" w14:paraId="2D78DD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5">
    <w:nsid w:val="48F805B6"/>
    <w:multiLevelType w:val="multilevel"/>
    <w:tmpl w:val="669C0A3A"/>
    <w:name w:val="WTO2012Normal6"/>
    <w:lvl w:ilvl="0">
      <w:start w:val="1"/>
      <w:numFmt w:val="decimal"/>
      <w:isLgl/>
      <w:suff w:val="nothing"/>
      <w:lvlText w:val="%1  "/>
      <w:lvlJc w:val="left"/>
      <w:pPr>
        <w:ind w:left="0" w:firstLine="0"/>
      </w:pPr>
    </w:lvl>
    <w:lvl w:ilvl="1">
      <w:start w:val="1"/>
      <w:numFmt w:val="decimal"/>
      <w:isLgl/>
      <w:suff w:val="nothing"/>
      <w:lvlText w:val="%1.%2  "/>
      <w:lvlJc w:val="left"/>
      <w:pPr>
        <w:ind w:left="0" w:firstLine="0"/>
      </w:pPr>
    </w:lvl>
    <w:lvl w:ilvl="2">
      <w:start w:val="1"/>
      <w:numFmt w:val="decimal"/>
      <w:isLgl/>
      <w:suff w:val="nothing"/>
      <w:lvlText w:val="%1.%2.%3  "/>
      <w:lvlJc w:val="left"/>
      <w:pPr>
        <w:ind w:left="0" w:firstLine="0"/>
      </w:pPr>
    </w:lvl>
    <w:lvl w:ilvl="3">
      <w:start w:val="1"/>
      <w:numFmt w:val="decimal"/>
      <w:isLgl/>
      <w:suff w:val="nothing"/>
      <w:lvlText w:val="%1.%2.%3.%4  "/>
      <w:lvlJc w:val="left"/>
      <w:pPr>
        <w:ind w:left="0" w:firstLine="0"/>
      </w:pPr>
    </w:lvl>
    <w:lvl w:ilvl="4">
      <w:start w:val="1"/>
      <w:numFmt w:val="decimal"/>
      <w:isLgl/>
      <w:suff w:val="nothing"/>
      <w:lvlText w:val="%1.%2.%3.%4.%5  "/>
      <w:lvlJc w:val="left"/>
      <w:pPr>
        <w:ind w:left="0" w:firstLine="0"/>
      </w:pPr>
    </w:lvl>
    <w:lvl w:ilvl="5">
      <w:start w:val="1"/>
      <w:numFmt w:val="decimal"/>
      <w:isLgl/>
      <w:suff w:val="nothing"/>
      <w:lvlText w:val="%1.%2.%3.%4.%5.%6  "/>
      <w:lvlJc w:val="left"/>
      <w:pPr>
        <w:ind w:left="0" w:firstLine="0"/>
      </w:pPr>
    </w:lvl>
    <w:lvl w:ilvl="6">
      <w:start w:val="1"/>
      <w:numFmt w:val="decimal"/>
      <w:lvlRestart w:val="0"/>
      <w:suff w:val="nothing"/>
      <w:lvlText w:val="%7.  "/>
      <w:lvlJc w:val="left"/>
      <w:pPr>
        <w:ind w:left="0" w:firstLine="0"/>
      </w:pPr>
    </w:lvl>
    <w:lvl w:ilvl="7">
      <w:start w:val="1"/>
      <w:numFmt w:val="lowerLetter"/>
      <w:lvlText w:val="%8."/>
      <w:lvlJc w:val="left"/>
      <w:pPr>
        <w:tabs>
          <w:tab w:val="num" w:pos="907"/>
        </w:tabs>
        <w:ind w:left="907" w:hanging="340"/>
      </w:pPr>
    </w:lvl>
    <w:lvl w:ilvl="8">
      <w:start w:val="1"/>
      <w:numFmt w:val="lowerRoman"/>
      <w:lvlText w:val="%9."/>
      <w:lvlJc w:val="left"/>
      <w:pPr>
        <w:tabs>
          <w:tab w:val="num" w:pos="1247"/>
        </w:tabs>
        <w:ind w:left="1247" w:hanging="340"/>
      </w:pPr>
    </w:lvl>
  </w:abstractNum>
  <w:abstractNum w:abstractNumId="6">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7">
    <w:nsid w:val="57454AB1"/>
    <w:multiLevelType w:val="multilevel"/>
    <w:tmpl w:val="98D6D06C"/>
    <w:lvl w:ilvl="0">
      <w:start w:val="1"/>
      <w:numFmt w:val="decimal"/>
      <w:pStyle w:val="Heading1"/>
      <w:isLgl/>
      <w:suff w:val="nothing"/>
      <w:lvlText w:val="%1  "/>
      <w:lvlJc w:val="left"/>
      <w:pPr>
        <w:ind w:left="0" w:firstLine="0"/>
      </w:pPr>
      <w:rPr>
        <w:rFonts w:hint="default"/>
      </w:rPr>
    </w:lvl>
    <w:lvl w:ilvl="1">
      <w:start w:val="1"/>
      <w:numFmt w:val="decimal"/>
      <w:lvlText w:val="%2."/>
      <w:lvlJc w:val="left"/>
      <w:pPr>
        <w:ind w:left="360" w:hanging="36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b w:val="0"/>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8">
    <w:nsid w:val="57551E12"/>
    <w:multiLevelType w:val="multilevel"/>
    <w:tmpl w:val="075A666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9">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8326FA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8326FAF"/>
    <w:multiLevelType w:val="hybridMultilevel"/>
    <w:tmpl w:val="78326FA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943873893">
    <w:abstractNumId w:val="8"/>
  </w:num>
  <w:num w:numId="2" w16cid:durableId="1652445674">
    <w:abstractNumId w:val="7"/>
  </w:num>
  <w:num w:numId="3" w16cid:durableId="1264723604">
    <w:abstractNumId w:val="6"/>
  </w:num>
  <w:num w:numId="4" w16cid:durableId="422410404">
    <w:abstractNumId w:val="9"/>
  </w:num>
  <w:num w:numId="5" w16cid:durableId="1208184740">
    <w:abstractNumId w:val="4"/>
  </w:num>
  <w:num w:numId="6" w16cid:durableId="1697924805">
    <w:abstractNumId w:val="3"/>
  </w:num>
  <w:num w:numId="7" w16cid:durableId="280494973">
    <w:abstractNumId w:val="2"/>
  </w:num>
  <w:num w:numId="8" w16cid:durableId="1543710065">
    <w:abstractNumId w:val="1"/>
  </w:num>
  <w:num w:numId="9" w16cid:durableId="1146237555">
    <w:abstractNumId w:val="0"/>
  </w:num>
  <w:num w:numId="10" w16cid:durableId="780419052">
    <w:abstractNumId w:val="10"/>
  </w:num>
  <w:num w:numId="11" w16cid:durableId="179663607">
    <w:abstractNumId w:val="11"/>
  </w:num>
  <w:num w:numId="12" w16cid:durableId="8512588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attachedTemplate r:id="rId1"/>
  <w:defaultTabStop w:val="567"/>
  <w:hyphenationZone w:val="425"/>
  <w:evenAndOddHeader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1B"/>
    <w:rsid w:val="000106A5"/>
    <w:rsid w:val="0001481E"/>
    <w:rsid w:val="00016333"/>
    <w:rsid w:val="000272F6"/>
    <w:rsid w:val="00037AC4"/>
    <w:rsid w:val="000423BF"/>
    <w:rsid w:val="000706FF"/>
    <w:rsid w:val="00077DC5"/>
    <w:rsid w:val="00097FCA"/>
    <w:rsid w:val="000A4945"/>
    <w:rsid w:val="000B31E1"/>
    <w:rsid w:val="000D0544"/>
    <w:rsid w:val="000D1BAC"/>
    <w:rsid w:val="000E231E"/>
    <w:rsid w:val="001041E3"/>
    <w:rsid w:val="0011356B"/>
    <w:rsid w:val="00114434"/>
    <w:rsid w:val="00115F64"/>
    <w:rsid w:val="001223FC"/>
    <w:rsid w:val="001253E3"/>
    <w:rsid w:val="0013337F"/>
    <w:rsid w:val="00150D42"/>
    <w:rsid w:val="00154C67"/>
    <w:rsid w:val="00156CBB"/>
    <w:rsid w:val="00165444"/>
    <w:rsid w:val="00166082"/>
    <w:rsid w:val="00182B84"/>
    <w:rsid w:val="00195DA8"/>
    <w:rsid w:val="001B3925"/>
    <w:rsid w:val="001B6605"/>
    <w:rsid w:val="001B6D7F"/>
    <w:rsid w:val="001E291F"/>
    <w:rsid w:val="001E7870"/>
    <w:rsid w:val="00212EBE"/>
    <w:rsid w:val="00215898"/>
    <w:rsid w:val="00224499"/>
    <w:rsid w:val="00233408"/>
    <w:rsid w:val="00242F64"/>
    <w:rsid w:val="002575EC"/>
    <w:rsid w:val="0027067B"/>
    <w:rsid w:val="00281808"/>
    <w:rsid w:val="00286690"/>
    <w:rsid w:val="00291874"/>
    <w:rsid w:val="002A71E0"/>
    <w:rsid w:val="002F707E"/>
    <w:rsid w:val="003018FC"/>
    <w:rsid w:val="00305CBA"/>
    <w:rsid w:val="003156C6"/>
    <w:rsid w:val="00341F5E"/>
    <w:rsid w:val="003554FD"/>
    <w:rsid w:val="003572B4"/>
    <w:rsid w:val="003663F6"/>
    <w:rsid w:val="00373D13"/>
    <w:rsid w:val="00392709"/>
    <w:rsid w:val="0039567B"/>
    <w:rsid w:val="003A0337"/>
    <w:rsid w:val="003A3017"/>
    <w:rsid w:val="003B052C"/>
    <w:rsid w:val="003B6EE5"/>
    <w:rsid w:val="003D0750"/>
    <w:rsid w:val="003D201D"/>
    <w:rsid w:val="00425DC5"/>
    <w:rsid w:val="00430E77"/>
    <w:rsid w:val="004365D1"/>
    <w:rsid w:val="00442465"/>
    <w:rsid w:val="00463E2D"/>
    <w:rsid w:val="00467032"/>
    <w:rsid w:val="0046754A"/>
    <w:rsid w:val="00467C85"/>
    <w:rsid w:val="0047051A"/>
    <w:rsid w:val="00491CB0"/>
    <w:rsid w:val="00495AC9"/>
    <w:rsid w:val="004A266B"/>
    <w:rsid w:val="004C18C1"/>
    <w:rsid w:val="004C3EDE"/>
    <w:rsid w:val="004E6D4C"/>
    <w:rsid w:val="004F203A"/>
    <w:rsid w:val="00510DE9"/>
    <w:rsid w:val="005259CA"/>
    <w:rsid w:val="005336B8"/>
    <w:rsid w:val="00542407"/>
    <w:rsid w:val="00544326"/>
    <w:rsid w:val="00547B5F"/>
    <w:rsid w:val="00551A16"/>
    <w:rsid w:val="0056365B"/>
    <w:rsid w:val="0056480E"/>
    <w:rsid w:val="00564D13"/>
    <w:rsid w:val="00566FC4"/>
    <w:rsid w:val="00570AA7"/>
    <w:rsid w:val="00586652"/>
    <w:rsid w:val="00586E46"/>
    <w:rsid w:val="00586EA6"/>
    <w:rsid w:val="00590DD8"/>
    <w:rsid w:val="005A1909"/>
    <w:rsid w:val="005A1A22"/>
    <w:rsid w:val="005B04B9"/>
    <w:rsid w:val="005B68C7"/>
    <w:rsid w:val="005B7054"/>
    <w:rsid w:val="005C4025"/>
    <w:rsid w:val="005D5981"/>
    <w:rsid w:val="005F30CB"/>
    <w:rsid w:val="005F4C1F"/>
    <w:rsid w:val="005F727F"/>
    <w:rsid w:val="00612644"/>
    <w:rsid w:val="0063089A"/>
    <w:rsid w:val="00634A10"/>
    <w:rsid w:val="00674CCD"/>
    <w:rsid w:val="00686480"/>
    <w:rsid w:val="00694BCE"/>
    <w:rsid w:val="006967BF"/>
    <w:rsid w:val="006972F9"/>
    <w:rsid w:val="006A2185"/>
    <w:rsid w:val="006C3955"/>
    <w:rsid w:val="006F5826"/>
    <w:rsid w:val="00700181"/>
    <w:rsid w:val="00701570"/>
    <w:rsid w:val="007100D2"/>
    <w:rsid w:val="007141CF"/>
    <w:rsid w:val="007152F6"/>
    <w:rsid w:val="0073791A"/>
    <w:rsid w:val="00745146"/>
    <w:rsid w:val="007577E3"/>
    <w:rsid w:val="00760DB3"/>
    <w:rsid w:val="00762A2B"/>
    <w:rsid w:val="0076348E"/>
    <w:rsid w:val="0076560E"/>
    <w:rsid w:val="00777C72"/>
    <w:rsid w:val="0078157E"/>
    <w:rsid w:val="00795A4B"/>
    <w:rsid w:val="007972BA"/>
    <w:rsid w:val="007C0FA5"/>
    <w:rsid w:val="007C3889"/>
    <w:rsid w:val="007C502F"/>
    <w:rsid w:val="007D40B3"/>
    <w:rsid w:val="007E447B"/>
    <w:rsid w:val="007E6507"/>
    <w:rsid w:val="007F2B8E"/>
    <w:rsid w:val="007F32D1"/>
    <w:rsid w:val="00807247"/>
    <w:rsid w:val="008262D4"/>
    <w:rsid w:val="008404BF"/>
    <w:rsid w:val="00840C2B"/>
    <w:rsid w:val="008428B6"/>
    <w:rsid w:val="00862B40"/>
    <w:rsid w:val="008739FD"/>
    <w:rsid w:val="00893E85"/>
    <w:rsid w:val="008940F9"/>
    <w:rsid w:val="00895E31"/>
    <w:rsid w:val="008B7F72"/>
    <w:rsid w:val="008C2C2C"/>
    <w:rsid w:val="008D4E3E"/>
    <w:rsid w:val="008D7949"/>
    <w:rsid w:val="008E372C"/>
    <w:rsid w:val="008F7899"/>
    <w:rsid w:val="00906997"/>
    <w:rsid w:val="00912888"/>
    <w:rsid w:val="009129D0"/>
    <w:rsid w:val="009178DE"/>
    <w:rsid w:val="009221C5"/>
    <w:rsid w:val="00970DA0"/>
    <w:rsid w:val="00981BF2"/>
    <w:rsid w:val="009A0597"/>
    <w:rsid w:val="009A6F54"/>
    <w:rsid w:val="009C2247"/>
    <w:rsid w:val="009C4212"/>
    <w:rsid w:val="009C51D7"/>
    <w:rsid w:val="009E4786"/>
    <w:rsid w:val="009F7FDA"/>
    <w:rsid w:val="00A17420"/>
    <w:rsid w:val="00A42354"/>
    <w:rsid w:val="00A6057A"/>
    <w:rsid w:val="00A64843"/>
    <w:rsid w:val="00A71537"/>
    <w:rsid w:val="00A735E3"/>
    <w:rsid w:val="00A74017"/>
    <w:rsid w:val="00A77E68"/>
    <w:rsid w:val="00A902C3"/>
    <w:rsid w:val="00AA332C"/>
    <w:rsid w:val="00AC27F8"/>
    <w:rsid w:val="00AD30FD"/>
    <w:rsid w:val="00AD4C72"/>
    <w:rsid w:val="00AE2AEE"/>
    <w:rsid w:val="00B00276"/>
    <w:rsid w:val="00B230EC"/>
    <w:rsid w:val="00B52738"/>
    <w:rsid w:val="00B56EDC"/>
    <w:rsid w:val="00B60206"/>
    <w:rsid w:val="00B66148"/>
    <w:rsid w:val="00B72EB1"/>
    <w:rsid w:val="00B96A74"/>
    <w:rsid w:val="00BA4A34"/>
    <w:rsid w:val="00BB1F84"/>
    <w:rsid w:val="00BB6FBB"/>
    <w:rsid w:val="00BC1A02"/>
    <w:rsid w:val="00BE2529"/>
    <w:rsid w:val="00BE3476"/>
    <w:rsid w:val="00BE5468"/>
    <w:rsid w:val="00BE5C94"/>
    <w:rsid w:val="00BE7F98"/>
    <w:rsid w:val="00BF79CC"/>
    <w:rsid w:val="00C11EAC"/>
    <w:rsid w:val="00C15CD8"/>
    <w:rsid w:val="00C15F6D"/>
    <w:rsid w:val="00C305D7"/>
    <w:rsid w:val="00C30F2A"/>
    <w:rsid w:val="00C408D1"/>
    <w:rsid w:val="00C43456"/>
    <w:rsid w:val="00C65C0C"/>
    <w:rsid w:val="00C801FF"/>
    <w:rsid w:val="00C808FC"/>
    <w:rsid w:val="00CA1428"/>
    <w:rsid w:val="00CA2EF9"/>
    <w:rsid w:val="00CA7CA2"/>
    <w:rsid w:val="00CD309B"/>
    <w:rsid w:val="00CD481B"/>
    <w:rsid w:val="00CD7D97"/>
    <w:rsid w:val="00CE3EE6"/>
    <w:rsid w:val="00CE3EEE"/>
    <w:rsid w:val="00CE4BA1"/>
    <w:rsid w:val="00CF5529"/>
    <w:rsid w:val="00D000C7"/>
    <w:rsid w:val="00D07E2A"/>
    <w:rsid w:val="00D221B8"/>
    <w:rsid w:val="00D2363B"/>
    <w:rsid w:val="00D26433"/>
    <w:rsid w:val="00D52A9D"/>
    <w:rsid w:val="00D55AAD"/>
    <w:rsid w:val="00D6197F"/>
    <w:rsid w:val="00D62242"/>
    <w:rsid w:val="00D62A7B"/>
    <w:rsid w:val="00D747AE"/>
    <w:rsid w:val="00D75E90"/>
    <w:rsid w:val="00D92221"/>
    <w:rsid w:val="00D9226C"/>
    <w:rsid w:val="00DA20BD"/>
    <w:rsid w:val="00DA350F"/>
    <w:rsid w:val="00DB205A"/>
    <w:rsid w:val="00DD14F3"/>
    <w:rsid w:val="00DE50DB"/>
    <w:rsid w:val="00DF6AE1"/>
    <w:rsid w:val="00E17228"/>
    <w:rsid w:val="00E24C3F"/>
    <w:rsid w:val="00E37159"/>
    <w:rsid w:val="00E43F90"/>
    <w:rsid w:val="00E46FD5"/>
    <w:rsid w:val="00E544BB"/>
    <w:rsid w:val="00E56545"/>
    <w:rsid w:val="00E84614"/>
    <w:rsid w:val="00EA5D4F"/>
    <w:rsid w:val="00EB6C56"/>
    <w:rsid w:val="00ED1D47"/>
    <w:rsid w:val="00ED54E0"/>
    <w:rsid w:val="00EE71F6"/>
    <w:rsid w:val="00EF1B5B"/>
    <w:rsid w:val="00EF7BD0"/>
    <w:rsid w:val="00F0186E"/>
    <w:rsid w:val="00F32397"/>
    <w:rsid w:val="00F40595"/>
    <w:rsid w:val="00F81002"/>
    <w:rsid w:val="00F9086F"/>
    <w:rsid w:val="00F93F4A"/>
    <w:rsid w:val="00FA5EBC"/>
    <w:rsid w:val="00FB7CC7"/>
    <w:rsid w:val="00FC4031"/>
    <w:rsid w:val="00FD224A"/>
    <w:rsid w:val="00FE6CD8"/>
    <w:rsid w:val="00FF2C1C"/>
    <w:rsid w:val="00FF461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2486F734"/>
  <w15:docId w15:val="{BC38D12E-9762-4A65-BEDA-F0C16EE1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597"/>
    <w:pPr>
      <w:spacing w:after="0" w:line="240" w:lineRule="auto"/>
      <w:jc w:val="both"/>
    </w:pPr>
    <w:rPr>
      <w:rFonts w:ascii="Verdana" w:eastAsia="Calibri" w:hAnsi="Verdana" w:cs="Times New Roman"/>
      <w:sz w:val="18"/>
    </w:rPr>
  </w:style>
  <w:style w:type="paragraph" w:styleId="Heading1">
    <w:name w:val="heading 1"/>
    <w:basedOn w:val="Normal"/>
    <w:next w:val="Heading2"/>
    <w:link w:val="Heading1Char"/>
    <w:uiPriority w:val="2"/>
    <w:qFormat/>
    <w:rsid w:val="00B230EC"/>
    <w:pPr>
      <w:keepNext/>
      <w:keepLines/>
      <w:numPr>
        <w:numId w:val="2"/>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2"/>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2"/>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2"/>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2"/>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2"/>
      </w:numPr>
      <w:spacing w:after="240"/>
    </w:pPr>
  </w:style>
  <w:style w:type="character" w:customStyle="1" w:styleId="BodyTextChar">
    <w:name w:val="Body Text Char"/>
    <w:basedOn w:val="DefaultParagraphFont"/>
    <w:link w:val="BodyText"/>
    <w:uiPriority w:val="1"/>
    <w:rsid w:val="00D747AE"/>
    <w:rPr>
      <w:rFonts w:ascii="Verdana" w:eastAsia="Calibri" w:hAnsi="Verdana" w:cs="Times New Roman"/>
      <w:sz w:val="18"/>
    </w:rPr>
  </w:style>
  <w:style w:type="paragraph" w:styleId="BodyText2">
    <w:name w:val="Body Text 2"/>
    <w:basedOn w:val="Normal"/>
    <w:link w:val="BodyText2Char"/>
    <w:uiPriority w:val="1"/>
    <w:qFormat/>
    <w:rsid w:val="00D747AE"/>
    <w:pPr>
      <w:numPr>
        <w:ilvl w:val="7"/>
        <w:numId w:val="2"/>
      </w:numPr>
      <w:spacing w:after="240"/>
    </w:pPr>
  </w:style>
  <w:style w:type="character" w:customStyle="1" w:styleId="BodyText2Char">
    <w:name w:val="Body Text 2 Char"/>
    <w:basedOn w:val="DefaultParagraphFont"/>
    <w:link w:val="BodyText2"/>
    <w:uiPriority w:val="1"/>
    <w:rsid w:val="00D747AE"/>
    <w:rPr>
      <w:rFonts w:ascii="Verdana" w:eastAsia="Calibri" w:hAnsi="Verdana" w:cs="Times New Roman"/>
      <w:sz w:val="18"/>
    </w:rPr>
  </w:style>
  <w:style w:type="paragraph" w:styleId="BodyText3">
    <w:name w:val="Body Text 3"/>
    <w:basedOn w:val="Normal"/>
    <w:link w:val="BodyText3Char"/>
    <w:uiPriority w:val="1"/>
    <w:qFormat/>
    <w:rsid w:val="00D747AE"/>
    <w:pPr>
      <w:numPr>
        <w:ilvl w:val="8"/>
        <w:numId w:val="2"/>
      </w:numPr>
      <w:spacing w:after="240"/>
    </w:pPr>
    <w:rPr>
      <w:szCs w:val="16"/>
    </w:rPr>
  </w:style>
  <w:style w:type="character" w:customStyle="1" w:styleId="BodyText3Char">
    <w:name w:val="Body Text 3 Char"/>
    <w:basedOn w:val="DefaultParagraphFont"/>
    <w:link w:val="BodyText3"/>
    <w:uiPriority w:val="1"/>
    <w:rsid w:val="00D747AE"/>
    <w:rPr>
      <w:rFonts w:ascii="Verdana" w:eastAsia="Calibri" w:hAnsi="Verdana" w:cs="Times New Roman"/>
      <w:sz w:val="18"/>
      <w:szCs w:val="16"/>
    </w:rPr>
  </w:style>
  <w:style w:type="numbering" w:customStyle="1" w:styleId="LegalHeadings">
    <w:name w:val="LegalHeadings"/>
    <w:uiPriority w:val="99"/>
    <w:rsid w:val="00D747AE"/>
    <w:pPr>
      <w:numPr>
        <w:numId w:val="1"/>
      </w:numPr>
    </w:pPr>
  </w:style>
  <w:style w:type="paragraph" w:styleId="ListBullet">
    <w:name w:val="List Bullet"/>
    <w:basedOn w:val="Normal"/>
    <w:uiPriority w:val="1"/>
    <w:rsid w:val="00AE2AEE"/>
    <w:pPr>
      <w:numPr>
        <w:numId w:val="3"/>
      </w:numPr>
      <w:spacing w:after="240"/>
    </w:pPr>
  </w:style>
  <w:style w:type="paragraph" w:styleId="ListBullet2">
    <w:name w:val="List Bullet 2"/>
    <w:basedOn w:val="Normal"/>
    <w:uiPriority w:val="1"/>
    <w:rsid w:val="00AE2AEE"/>
    <w:pPr>
      <w:numPr>
        <w:ilvl w:val="1"/>
        <w:numId w:val="3"/>
      </w:numPr>
      <w:spacing w:after="240"/>
    </w:pPr>
  </w:style>
  <w:style w:type="paragraph" w:styleId="ListBullet3">
    <w:name w:val="List Bullet 3"/>
    <w:basedOn w:val="Normal"/>
    <w:uiPriority w:val="1"/>
    <w:rsid w:val="00AE2AEE"/>
    <w:pPr>
      <w:numPr>
        <w:ilvl w:val="2"/>
        <w:numId w:val="3"/>
      </w:numPr>
      <w:spacing w:after="240"/>
    </w:pPr>
  </w:style>
  <w:style w:type="paragraph" w:styleId="ListBullet4">
    <w:name w:val="List Bullet 4"/>
    <w:basedOn w:val="Normal"/>
    <w:uiPriority w:val="1"/>
    <w:rsid w:val="00AE2AEE"/>
    <w:pPr>
      <w:numPr>
        <w:ilvl w:val="3"/>
        <w:numId w:val="3"/>
      </w:numPr>
      <w:spacing w:after="240"/>
      <w:ind w:left="1587" w:hanging="340"/>
    </w:pPr>
  </w:style>
  <w:style w:type="paragraph" w:styleId="ListBullet5">
    <w:name w:val="List Bullet 5"/>
    <w:basedOn w:val="Normal"/>
    <w:uiPriority w:val="1"/>
    <w:rsid w:val="00AE2AEE"/>
    <w:pPr>
      <w:numPr>
        <w:ilvl w:val="4"/>
        <w:numId w:val="3"/>
      </w:numPr>
      <w:spacing w:after="240"/>
    </w:pPr>
  </w:style>
  <w:style w:type="numbering" w:customStyle="1" w:styleId="ListBullets">
    <w:name w:val="ListBullets"/>
    <w:uiPriority w:val="99"/>
    <w:rsid w:val="00760DB3"/>
    <w:pPr>
      <w:numPr>
        <w:numId w:val="3"/>
      </w:numPr>
    </w:pPr>
  </w:style>
  <w:style w:type="paragraph" w:customStyle="1" w:styleId="Answer">
    <w:name w:val="Answer"/>
    <w:basedOn w:val="Normal"/>
    <w:link w:val="AnswerChar"/>
    <w:uiPriority w:val="6"/>
    <w:qFormat/>
    <w:rsid w:val="0046754A"/>
    <w:pPr>
      <w:spacing w:after="240"/>
      <w:ind w:left="1077"/>
    </w:p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szCs w:val="18"/>
      <w:lang w:eastAsia="en-GB"/>
    </w:rPr>
  </w:style>
  <w:style w:type="paragraph" w:customStyle="1" w:styleId="QuotationDouble">
    <w:name w:val="Quotation Double"/>
    <w:basedOn w:val="Normal"/>
    <w:uiPriority w:val="5"/>
    <w:qFormat/>
    <w:rsid w:val="00DF6AE1"/>
    <w:pPr>
      <w:spacing w:after="240"/>
      <w:ind w:left="1134" w:right="1134"/>
    </w:pPr>
    <w:rPr>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caps/>
      <w:color w:val="006283"/>
      <w:szCs w:val="18"/>
      <w:lang w:eastAsia="en-GB"/>
    </w:rPr>
  </w:style>
  <w:style w:type="paragraph" w:customStyle="1" w:styleId="Title3">
    <w:name w:val="Title 3"/>
    <w:basedOn w:val="Normal"/>
    <w:next w:val="Normal"/>
    <w:uiPriority w:val="5"/>
    <w:qFormat/>
    <w:rsid w:val="00B230EC"/>
    <w:pPr>
      <w:spacing w:after="360"/>
      <w:jc w:val="center"/>
    </w:pPr>
    <w:rPr>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4"/>
      </w:numPr>
      <w:spacing w:after="240"/>
      <w:ind w:left="0" w:firstLine="0"/>
    </w:pPr>
  </w:style>
  <w:style w:type="paragraph" w:styleId="ListParagraph">
    <w:name w:val="List Paragraph"/>
    <w:basedOn w:val="Normal"/>
    <w:uiPriority w:val="34"/>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eastAsia="Calibri" w:hAnsi="Verdana" w:cs="Times New Roman"/>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5"/>
      </w:numPr>
      <w:contextualSpacing/>
    </w:pPr>
  </w:style>
  <w:style w:type="paragraph" w:styleId="ListNumber2">
    <w:name w:val="List Number 2"/>
    <w:basedOn w:val="Normal"/>
    <w:uiPriority w:val="49"/>
    <w:semiHidden/>
    <w:unhideWhenUsed/>
    <w:rsid w:val="00547B5F"/>
    <w:pPr>
      <w:numPr>
        <w:numId w:val="6"/>
      </w:numPr>
      <w:contextualSpacing/>
    </w:pPr>
  </w:style>
  <w:style w:type="paragraph" w:styleId="ListNumber3">
    <w:name w:val="List Number 3"/>
    <w:basedOn w:val="Normal"/>
    <w:uiPriority w:val="49"/>
    <w:unhideWhenUsed/>
    <w:rsid w:val="00547B5F"/>
    <w:pPr>
      <w:numPr>
        <w:numId w:val="7"/>
      </w:numPr>
      <w:contextualSpacing/>
    </w:pPr>
  </w:style>
  <w:style w:type="paragraph" w:styleId="ListNumber4">
    <w:name w:val="List Number 4"/>
    <w:basedOn w:val="Normal"/>
    <w:uiPriority w:val="49"/>
    <w:semiHidden/>
    <w:unhideWhenUsed/>
    <w:rsid w:val="00547B5F"/>
    <w:pPr>
      <w:numPr>
        <w:numId w:val="8"/>
      </w:numPr>
      <w:contextualSpacing/>
    </w:pPr>
  </w:style>
  <w:style w:type="paragraph" w:styleId="ListNumber5">
    <w:name w:val="List Number 5"/>
    <w:basedOn w:val="Normal"/>
    <w:uiPriority w:val="49"/>
    <w:semiHidden/>
    <w:unhideWhenUsed/>
    <w:rsid w:val="00547B5F"/>
    <w:pPr>
      <w:numPr>
        <w:numId w:val="9"/>
      </w:numPr>
      <w:contextualSpacing/>
    </w:pPr>
  </w:style>
  <w:style w:type="paragraph" w:styleId="Macro">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color w:val="006283"/>
    </w:rPr>
  </w:style>
  <w:style w:type="table" w:customStyle="1" w:styleId="TableGrid1">
    <w:name w:val="Table Grid1"/>
    <w:basedOn w:val="TableNormal"/>
    <w:next w:val="TableGrid"/>
    <w:uiPriority w:val="39"/>
    <w:rsid w:val="00634A10"/>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06997"/>
    <w:rPr>
      <w:color w:val="808080"/>
      <w:shd w:val="clear" w:color="auto" w:fill="E6E6E6"/>
    </w:rPr>
  </w:style>
  <w:style w:type="character" w:customStyle="1" w:styleId="UnresolvedMention2">
    <w:name w:val="Unresolved Mention2"/>
    <w:basedOn w:val="DefaultParagraphFont"/>
    <w:uiPriority w:val="99"/>
    <w:semiHidden/>
    <w:unhideWhenUsed/>
    <w:rsid w:val="005C4025"/>
    <w:rPr>
      <w:color w:val="808080"/>
      <w:shd w:val="clear" w:color="auto" w:fill="E6E6E6"/>
    </w:rPr>
  </w:style>
  <w:style w:type="numbering" w:styleId="1ai">
    <w:name w:val="Outline List 1"/>
    <w:basedOn w:val="NoList"/>
    <w:rsid w:val="00463E2D"/>
    <w:pPr>
      <w:numPr>
        <w:numId w:val="10"/>
      </w:numPr>
    </w:pPr>
  </w:style>
  <w:style w:type="character" w:customStyle="1" w:styleId="q4iawc">
    <w:name w:val="q4iawc"/>
    <w:basedOn w:val="DefaultParagraphFont"/>
    <w:rsid w:val="00B72EB1"/>
  </w:style>
  <w:style w:type="character" w:customStyle="1" w:styleId="UnresolvedMention3">
    <w:name w:val="Unresolved Mention3"/>
    <w:basedOn w:val="DefaultParagraphFont"/>
    <w:uiPriority w:val="99"/>
    <w:semiHidden/>
    <w:unhideWhenUsed/>
    <w:rsid w:val="00B72EB1"/>
    <w:rPr>
      <w:color w:val="605E5C"/>
      <w:shd w:val="clear" w:color="auto" w:fill="E1DFDD"/>
    </w:rPr>
  </w:style>
  <w:style w:type="character" w:customStyle="1" w:styleId="ui-provider">
    <w:name w:val="ui-provider"/>
    <w:basedOn w:val="DefaultParagraphFont"/>
    <w:rsid w:val="00077DC5"/>
  </w:style>
  <w:style w:type="paragraph" w:styleId="Revision">
    <w:name w:val="Revision"/>
    <w:hidden/>
    <w:uiPriority w:val="99"/>
    <w:semiHidden/>
    <w:rsid w:val="008C2C2C"/>
    <w:pPr>
      <w:spacing w:after="0" w:line="240" w:lineRule="auto"/>
    </w:pPr>
    <w:rPr>
      <w:rFonts w:ascii="Verdana" w:eastAsia="Calibri"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www.munganyo.km" TargetMode="External" /><Relationship Id="rId8" Type="http://schemas.openxmlformats.org/officeDocument/2006/relationships/hyperlink" Target="mailto:zaboinamed2014@gmail.com"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eping.wto.org/fr/EnquiryPoint/tbt-nep"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ipiani\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24548103-09dd-46c0-8b98-3740bab76983</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74FC4-F773-4466-A364-6357C94F4457}">
  <ds:schemaRefs>
    <ds:schemaRef ds:uri="http://schemas.titus.com/TitusProperties/"/>
    <ds:schemaRef ds:uri=""/>
  </ds:schemaRefs>
</ds:datastoreItem>
</file>

<file path=customXml/itemProps2.xml><?xml version="1.0" encoding="utf-8"?>
<ds:datastoreItem xmlns:ds="http://schemas.openxmlformats.org/officeDocument/2006/customXml" ds:itemID="{54923ED2-BAE9-402C-92A8-F4C68FDD7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5</TotalTime>
  <Pages>4</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Greenleaves, Jane</dc:creator>
  <cp:lastModifiedBy>Tipiani, Laura</cp:lastModifiedBy>
  <cp:revision>7</cp:revision>
  <cp:lastPrinted>2017-09-06T09:33:00Z</cp:lastPrinted>
  <dcterms:created xsi:type="dcterms:W3CDTF">2026-06-29T13:30:00Z</dcterms:created>
  <dcterms:modified xsi:type="dcterms:W3CDTF">2026-06-29T15:34:00Z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G/TBT/15.2/N/[ISO 3 letter country code]</vt:lpwstr>
  </property>
  <property fmtid="{D5CDD505-2E9C-101B-9397-08002B2CF9AE}" pid="3" name="TitusGUID">
    <vt:lpwstr>24548103-09dd-46c0-8b98-3740bab76983</vt:lpwstr>
  </property>
  <property fmtid="{D5CDD505-2E9C-101B-9397-08002B2CF9AE}" pid="4" name="WTOCLASSIFICATION">
    <vt:lpwstr>WTO OFFICIAL</vt:lpwstr>
  </property>
</Properties>
</file>